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E417C" w14:textId="77777777" w:rsidR="00012A95" w:rsidRDefault="00012A95">
      <w:pPr>
        <w:pStyle w:val="Style1"/>
      </w:pPr>
    </w:p>
    <w:p w14:paraId="63DE417D" w14:textId="77777777" w:rsidR="00012A95" w:rsidRDefault="00FF7AD3" w:rsidP="00FF7AD3">
      <w:pPr>
        <w:pBdr>
          <w:top w:val="single" w:sz="18" w:space="1" w:color="auto"/>
          <w:left w:val="single" w:sz="18" w:space="4" w:color="auto"/>
          <w:bottom w:val="single" w:sz="18" w:space="17" w:color="auto"/>
          <w:right w:val="single" w:sz="18" w:space="4" w:color="auto"/>
        </w:pBdr>
        <w:jc w:val="center"/>
        <w:rPr>
          <w:b/>
        </w:rPr>
      </w:pPr>
      <w:r w:rsidRPr="00FF7AD3">
        <w:rPr>
          <w:b/>
        </w:rPr>
        <w:t>ANGLOPHONE SOUTH DISTRICT EDUCATION COUNCIL</w:t>
      </w:r>
    </w:p>
    <w:p w14:paraId="63DE417E" w14:textId="77777777" w:rsidR="00FF7AD3" w:rsidRPr="00FF7AD3" w:rsidRDefault="00FF7AD3" w:rsidP="00FF7AD3">
      <w:pPr>
        <w:pBdr>
          <w:top w:val="single" w:sz="18" w:space="1" w:color="auto"/>
          <w:left w:val="single" w:sz="18" w:space="4" w:color="auto"/>
          <w:bottom w:val="single" w:sz="18" w:space="17" w:color="auto"/>
          <w:right w:val="single" w:sz="18" w:space="4" w:color="auto"/>
        </w:pBdr>
        <w:jc w:val="center"/>
        <w:rPr>
          <w:b/>
        </w:rPr>
      </w:pPr>
    </w:p>
    <w:p w14:paraId="63DE417F" w14:textId="77777777" w:rsidR="00012A95" w:rsidRDefault="00012A95">
      <w:pPr>
        <w:pBdr>
          <w:top w:val="single" w:sz="18" w:space="1" w:color="auto"/>
          <w:left w:val="single" w:sz="18" w:space="4" w:color="auto"/>
          <w:bottom w:val="single" w:sz="18" w:space="17" w:color="auto"/>
          <w:right w:val="single" w:sz="18" w:space="4" w:color="auto"/>
        </w:pBdr>
      </w:pPr>
      <w:r>
        <w:rPr>
          <w:b/>
        </w:rPr>
        <w:t>POLICY TYPE:</w:t>
      </w:r>
      <w:r>
        <w:tab/>
        <w:t>Executive Limitations</w:t>
      </w:r>
      <w:r>
        <w:tab/>
      </w:r>
      <w:r>
        <w:tab/>
      </w:r>
      <w:r>
        <w:tab/>
      </w:r>
      <w:r>
        <w:rPr>
          <w:b/>
        </w:rPr>
        <w:t xml:space="preserve">POLICY NO.:  </w:t>
      </w:r>
      <w:r w:rsidRPr="00107EAF">
        <w:t>EL-</w:t>
      </w:r>
      <w:r w:rsidR="00FF7AD3" w:rsidRPr="00107EAF">
        <w:t>6</w:t>
      </w:r>
    </w:p>
    <w:p w14:paraId="63DE4180" w14:textId="77777777" w:rsidR="00012A95" w:rsidRDefault="00012A95">
      <w:pPr>
        <w:pBdr>
          <w:top w:val="single" w:sz="18" w:space="1" w:color="auto"/>
          <w:left w:val="single" w:sz="18" w:space="4" w:color="auto"/>
          <w:bottom w:val="single" w:sz="18" w:space="17" w:color="auto"/>
          <w:right w:val="single" w:sz="18" w:space="4" w:color="auto"/>
        </w:pBdr>
      </w:pPr>
    </w:p>
    <w:p w14:paraId="63DE4181" w14:textId="77777777" w:rsidR="00012A95" w:rsidRDefault="00012A95">
      <w:pPr>
        <w:pBdr>
          <w:top w:val="single" w:sz="18" w:space="1" w:color="auto"/>
          <w:left w:val="single" w:sz="18" w:space="4" w:color="auto"/>
          <w:bottom w:val="single" w:sz="18" w:space="17" w:color="auto"/>
          <w:right w:val="single" w:sz="18" w:space="4" w:color="auto"/>
        </w:pBdr>
      </w:pPr>
      <w:r>
        <w:rPr>
          <w:b/>
        </w:rPr>
        <w:t>POLICY TITLE:</w:t>
      </w:r>
      <w:r>
        <w:rPr>
          <w:b/>
        </w:rPr>
        <w:tab/>
      </w:r>
      <w:r>
        <w:t>Budgeting/Financial Planning</w:t>
      </w:r>
      <w:r>
        <w:rPr>
          <w:b/>
        </w:rPr>
        <w:tab/>
      </w:r>
      <w:r>
        <w:rPr>
          <w:b/>
        </w:rPr>
        <w:tab/>
        <w:t xml:space="preserve">PAGE:     </w:t>
      </w:r>
      <w:r>
        <w:t>1 of 1</w:t>
      </w:r>
    </w:p>
    <w:p w14:paraId="63DE4182" w14:textId="77777777" w:rsidR="00012A95" w:rsidRDefault="00012A95">
      <w:pPr>
        <w:pBdr>
          <w:top w:val="single" w:sz="18" w:space="1" w:color="auto"/>
          <w:left w:val="single" w:sz="18" w:space="4" w:color="auto"/>
          <w:bottom w:val="single" w:sz="18" w:space="17" w:color="auto"/>
          <w:right w:val="single" w:sz="18" w:space="4" w:color="auto"/>
        </w:pBdr>
        <w:rPr>
          <w:b/>
        </w:rPr>
      </w:pPr>
    </w:p>
    <w:p w14:paraId="63DE4183" w14:textId="77777777" w:rsidR="00012A95" w:rsidRDefault="00012A95">
      <w:pPr>
        <w:pBdr>
          <w:top w:val="single" w:sz="18" w:space="1" w:color="auto"/>
          <w:left w:val="single" w:sz="18" w:space="4" w:color="auto"/>
          <w:bottom w:val="single" w:sz="18" w:space="17" w:color="auto"/>
          <w:right w:val="single" w:sz="18" w:space="4" w:color="auto"/>
        </w:pBdr>
        <w:rPr>
          <w:b/>
        </w:rPr>
      </w:pPr>
      <w:r>
        <w:rPr>
          <w:b/>
        </w:rPr>
        <w:t>LEGISLATIVE AUTHORITY:</w:t>
      </w:r>
    </w:p>
    <w:p w14:paraId="63DE4184" w14:textId="77777777" w:rsidR="00012A95" w:rsidRDefault="00012A95">
      <w:pPr>
        <w:pStyle w:val="Style1"/>
      </w:pPr>
    </w:p>
    <w:p w14:paraId="63DE4185" w14:textId="77777777" w:rsidR="00012A95" w:rsidRDefault="00012A95">
      <w:pPr>
        <w:pStyle w:val="Style1"/>
        <w:rPr>
          <w:b/>
          <w:sz w:val="28"/>
        </w:rPr>
      </w:pPr>
      <w:r>
        <w:tab/>
      </w:r>
      <w:r>
        <w:tab/>
      </w:r>
      <w:r>
        <w:tab/>
      </w:r>
      <w:r>
        <w:tab/>
      </w:r>
      <w:r>
        <w:tab/>
      </w:r>
      <w:r>
        <w:tab/>
      </w:r>
      <w:r>
        <w:tab/>
      </w:r>
      <w:r>
        <w:rPr>
          <w:b/>
          <w:sz w:val="28"/>
        </w:rPr>
        <w:t xml:space="preserve"> </w:t>
      </w:r>
    </w:p>
    <w:p w14:paraId="63DE4186" w14:textId="77777777" w:rsidR="00012A95" w:rsidRDefault="00012A95">
      <w:pPr>
        <w:pStyle w:val="Style1"/>
        <w:jc w:val="both"/>
        <w:rPr>
          <w:b/>
          <w:sz w:val="28"/>
        </w:rPr>
      </w:pPr>
    </w:p>
    <w:p w14:paraId="63DE4187" w14:textId="77777777" w:rsidR="00012A95" w:rsidRDefault="00012A95">
      <w:pPr>
        <w:pStyle w:val="Style1"/>
        <w:jc w:val="both"/>
      </w:pPr>
      <w:r>
        <w:t>Financial planning for any fiscal year shall not deviate materially from the District Education Council’s Ends policies,</w:t>
      </w:r>
      <w:r w:rsidR="00F243DC">
        <w:t xml:space="preserve"> or </w:t>
      </w:r>
      <w:r>
        <w:t xml:space="preserve">risk </w:t>
      </w:r>
      <w:r w:rsidR="00F243DC">
        <w:t>fiscal jeopardy to the District.</w:t>
      </w:r>
      <w:r>
        <w:t xml:space="preserve">  Accordingly, the Superintendent shall not present to the Council a recommended budget which:</w:t>
      </w:r>
    </w:p>
    <w:p w14:paraId="63DE4188" w14:textId="77777777" w:rsidR="00012A95" w:rsidRDefault="00012A95">
      <w:pPr>
        <w:pStyle w:val="Style1"/>
        <w:jc w:val="both"/>
      </w:pPr>
    </w:p>
    <w:p w14:paraId="63DE4189" w14:textId="77777777" w:rsidR="00012A95" w:rsidRDefault="00012A95" w:rsidP="00343A2A">
      <w:pPr>
        <w:pStyle w:val="Style1"/>
        <w:numPr>
          <w:ilvl w:val="0"/>
          <w:numId w:val="1"/>
        </w:numPr>
        <w:jc w:val="both"/>
      </w:pPr>
      <w:r>
        <w:t>fails to be in a summary format understandable to the Council;</w:t>
      </w:r>
    </w:p>
    <w:p w14:paraId="63DE418A" w14:textId="77777777" w:rsidR="00012A95" w:rsidRDefault="00012A95" w:rsidP="00343A2A">
      <w:pPr>
        <w:pStyle w:val="Style1"/>
        <w:numPr>
          <w:ilvl w:val="12"/>
          <w:numId w:val="0"/>
        </w:numPr>
        <w:jc w:val="both"/>
      </w:pPr>
    </w:p>
    <w:p w14:paraId="63DE418B" w14:textId="77777777" w:rsidR="00012A95" w:rsidRDefault="00012A95" w:rsidP="00343A2A">
      <w:pPr>
        <w:pStyle w:val="Style1"/>
        <w:numPr>
          <w:ilvl w:val="0"/>
          <w:numId w:val="1"/>
        </w:numPr>
        <w:jc w:val="both"/>
      </w:pPr>
      <w:r>
        <w:t>fails to adequately describe revenues and expenditures;</w:t>
      </w:r>
    </w:p>
    <w:p w14:paraId="63DE418C" w14:textId="77777777" w:rsidR="00012A95" w:rsidRDefault="00012A95" w:rsidP="00343A2A">
      <w:pPr>
        <w:pStyle w:val="Style1"/>
        <w:numPr>
          <w:ilvl w:val="12"/>
          <w:numId w:val="0"/>
        </w:numPr>
        <w:jc w:val="both"/>
      </w:pPr>
    </w:p>
    <w:p w14:paraId="63DE418D" w14:textId="77777777" w:rsidR="00012A95" w:rsidRDefault="00012A95" w:rsidP="00343A2A">
      <w:pPr>
        <w:pStyle w:val="Style1"/>
        <w:numPr>
          <w:ilvl w:val="0"/>
          <w:numId w:val="1"/>
        </w:numPr>
        <w:jc w:val="both"/>
      </w:pPr>
      <w:r>
        <w:t>fails to show the amount spent in each program or area for the most recently completed fiscal year, the amount budgeted for each program or area for the current fiscal year, and the amount recommended for the next fiscal year;</w:t>
      </w:r>
    </w:p>
    <w:p w14:paraId="63DE418E" w14:textId="77777777" w:rsidR="00012A95" w:rsidRDefault="00012A95" w:rsidP="00343A2A">
      <w:pPr>
        <w:pStyle w:val="Style1"/>
        <w:numPr>
          <w:ilvl w:val="12"/>
          <w:numId w:val="0"/>
        </w:numPr>
        <w:jc w:val="both"/>
      </w:pPr>
    </w:p>
    <w:p w14:paraId="63DE418F" w14:textId="77777777" w:rsidR="00012A95" w:rsidRDefault="00012A95" w:rsidP="00343A2A">
      <w:pPr>
        <w:pStyle w:val="Style1"/>
        <w:numPr>
          <w:ilvl w:val="0"/>
          <w:numId w:val="1"/>
        </w:numPr>
        <w:jc w:val="both"/>
      </w:pPr>
      <w:r>
        <w:t>fails to disclose budget planning assumptions;</w:t>
      </w:r>
    </w:p>
    <w:p w14:paraId="63DE4190" w14:textId="77777777" w:rsidR="00012A95" w:rsidRDefault="00012A95" w:rsidP="00343A2A">
      <w:pPr>
        <w:pStyle w:val="Style1"/>
        <w:numPr>
          <w:ilvl w:val="12"/>
          <w:numId w:val="0"/>
        </w:numPr>
        <w:jc w:val="both"/>
      </w:pPr>
    </w:p>
    <w:p w14:paraId="63DE4191" w14:textId="77777777" w:rsidR="00012A95" w:rsidRDefault="00012A95" w:rsidP="00343A2A">
      <w:pPr>
        <w:pStyle w:val="Style1"/>
        <w:numPr>
          <w:ilvl w:val="0"/>
          <w:numId w:val="1"/>
        </w:numPr>
        <w:jc w:val="both"/>
      </w:pPr>
      <w:r>
        <w:t>fails to avert the expenditure in any fiscal year of more funds than are conservatively projected to be received during the year;</w:t>
      </w:r>
    </w:p>
    <w:p w14:paraId="63DE4192" w14:textId="77777777" w:rsidR="00012A95" w:rsidRDefault="00012A95" w:rsidP="00343A2A">
      <w:pPr>
        <w:pStyle w:val="Style1"/>
        <w:numPr>
          <w:ilvl w:val="12"/>
          <w:numId w:val="0"/>
        </w:numPr>
        <w:jc w:val="both"/>
      </w:pPr>
    </w:p>
    <w:p w14:paraId="63DE4193" w14:textId="77777777" w:rsidR="00012A95" w:rsidRDefault="00012A95" w:rsidP="00343A2A">
      <w:pPr>
        <w:pStyle w:val="Style1"/>
        <w:numPr>
          <w:ilvl w:val="0"/>
          <w:numId w:val="1"/>
        </w:numPr>
        <w:jc w:val="both"/>
      </w:pPr>
      <w:r>
        <w:t>fails to provide adequate and reasonable support for Council’s budget development and other governance priorities; and</w:t>
      </w:r>
    </w:p>
    <w:p w14:paraId="63DE4194" w14:textId="77777777" w:rsidR="00012A95" w:rsidRDefault="00012A95" w:rsidP="00343A2A">
      <w:pPr>
        <w:pStyle w:val="Style1"/>
        <w:numPr>
          <w:ilvl w:val="12"/>
          <w:numId w:val="0"/>
        </w:numPr>
        <w:jc w:val="both"/>
      </w:pPr>
    </w:p>
    <w:p w14:paraId="63DE4195" w14:textId="77777777" w:rsidR="00012A95" w:rsidRDefault="00012A95" w:rsidP="00343A2A">
      <w:pPr>
        <w:pStyle w:val="Style1"/>
        <w:numPr>
          <w:ilvl w:val="0"/>
          <w:numId w:val="1"/>
        </w:numPr>
        <w:jc w:val="both"/>
      </w:pPr>
      <w:r>
        <w:t xml:space="preserve">fails to take into consideration fiscal soundness or ignores the building of </w:t>
      </w:r>
      <w:bookmarkStart w:id="0" w:name="_GoBack"/>
      <w:bookmarkEnd w:id="0"/>
      <w:r>
        <w:t>organizational capabilities sufficient to achieve Ends.</w:t>
      </w:r>
    </w:p>
    <w:sectPr w:rsidR="00012A95" w:rsidSect="001F53A4">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4E420" w14:textId="77777777" w:rsidR="008E5261" w:rsidRDefault="008E5261">
      <w:r>
        <w:separator/>
      </w:r>
    </w:p>
  </w:endnote>
  <w:endnote w:type="continuationSeparator" w:id="0">
    <w:p w14:paraId="64908D3F" w14:textId="77777777" w:rsidR="008E5261" w:rsidRDefault="008E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E419A" w14:textId="77777777" w:rsidR="00717759" w:rsidRDefault="00717759">
    <w:pPr>
      <w:pStyle w:val="Footer"/>
      <w:pBdr>
        <w:bottom w:val="single" w:sz="12" w:space="1" w:color="auto"/>
      </w:pBdr>
    </w:pPr>
  </w:p>
  <w:p w14:paraId="63DE419B" w14:textId="0E3C0DE7" w:rsidR="00AF1E5B" w:rsidRDefault="00F24B36">
    <w:pPr>
      <w:pStyle w:val="Footer"/>
      <w:rPr>
        <w:b/>
        <w:sz w:val="20"/>
      </w:rPr>
    </w:pPr>
    <w:r>
      <w:rPr>
        <w:b/>
        <w:sz w:val="20"/>
      </w:rPr>
      <w:t>Adopted:  October 2012</w:t>
    </w:r>
    <w:r w:rsidR="00717759">
      <w:rPr>
        <w:b/>
        <w:sz w:val="20"/>
      </w:rPr>
      <w:t xml:space="preserve">               </w:t>
    </w:r>
  </w:p>
  <w:p w14:paraId="63DE419C" w14:textId="77777777" w:rsidR="00AF1E5B" w:rsidRDefault="00717759">
    <w:pPr>
      <w:pStyle w:val="Footer"/>
      <w:rPr>
        <w:b/>
        <w:sz w:val="20"/>
      </w:rPr>
    </w:pPr>
    <w:r>
      <w:rPr>
        <w:b/>
        <w:sz w:val="20"/>
      </w:rPr>
      <w:t>Revised:</w:t>
    </w:r>
    <w:r w:rsidR="000624F2">
      <w:rPr>
        <w:b/>
        <w:sz w:val="20"/>
      </w:rPr>
      <w:t xml:space="preserve">                        </w:t>
    </w:r>
  </w:p>
  <w:p w14:paraId="63DE419D" w14:textId="6D61816E" w:rsidR="00717759" w:rsidRDefault="00F24B36">
    <w:pPr>
      <w:pStyle w:val="Footer"/>
      <w:rPr>
        <w:b/>
        <w:sz w:val="20"/>
      </w:rPr>
    </w:pPr>
    <w:r>
      <w:rPr>
        <w:b/>
        <w:sz w:val="20"/>
      </w:rPr>
      <w:t xml:space="preserve">Review Method:  </w:t>
    </w:r>
    <w:r w:rsidR="002E5F58">
      <w:rPr>
        <w:b/>
        <w:sz w:val="20"/>
      </w:rPr>
      <w:t>Executive Report</w:t>
    </w:r>
  </w:p>
  <w:p w14:paraId="63DE419E" w14:textId="66FDB4FC" w:rsidR="00717759" w:rsidRDefault="00F24B36">
    <w:pPr>
      <w:pStyle w:val="Footer"/>
      <w:rPr>
        <w:b/>
        <w:sz w:val="20"/>
      </w:rPr>
    </w:pPr>
    <w:r>
      <w:rPr>
        <w:b/>
        <w:sz w:val="20"/>
      </w:rPr>
      <w:t xml:space="preserve">Review Frequency:  </w:t>
    </w:r>
    <w:r w:rsidR="00077161">
      <w:rPr>
        <w:b/>
        <w:sz w:val="20"/>
      </w:rPr>
      <w:t>Annual</w:t>
    </w:r>
    <w:r w:rsidR="009E54A3">
      <w:rPr>
        <w:b/>
        <w:sz w:val="20"/>
      </w:rPr>
      <w:t xml:space="preserve"> – </w:t>
    </w:r>
    <w:r w:rsidR="004B122C">
      <w:rPr>
        <w:b/>
        <w:sz w:val="20"/>
      </w:rPr>
      <w:t xml:space="preserve">March </w:t>
    </w:r>
    <w:r w:rsidR="0045703B">
      <w:rPr>
        <w:b/>
        <w:sz w:val="20"/>
      </w:rPr>
      <w:t>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C1592" w14:textId="77777777" w:rsidR="008E5261" w:rsidRDefault="008E5261">
      <w:r>
        <w:separator/>
      </w:r>
    </w:p>
  </w:footnote>
  <w:footnote w:type="continuationSeparator" w:id="0">
    <w:p w14:paraId="77BA5F64" w14:textId="77777777" w:rsidR="008E5261" w:rsidRDefault="008E5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05285"/>
    <w:multiLevelType w:val="singleLevel"/>
    <w:tmpl w:val="F508E938"/>
    <w:lvl w:ilvl="0">
      <w:start w:val="1"/>
      <w:numFmt w:val="decimal"/>
      <w:lvlText w:val="%1."/>
      <w:legacy w:legacy="1" w:legacySpace="0" w:legacyIndent="720"/>
      <w:lvlJc w:val="left"/>
      <w:pPr>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2A"/>
    <w:rsid w:val="00012A95"/>
    <w:rsid w:val="000624F2"/>
    <w:rsid w:val="00077161"/>
    <w:rsid w:val="00107EAF"/>
    <w:rsid w:val="001D437A"/>
    <w:rsid w:val="001F53A4"/>
    <w:rsid w:val="0022087E"/>
    <w:rsid w:val="002E5F58"/>
    <w:rsid w:val="00343A2A"/>
    <w:rsid w:val="0045703B"/>
    <w:rsid w:val="004B122C"/>
    <w:rsid w:val="005B6025"/>
    <w:rsid w:val="006A7AD0"/>
    <w:rsid w:val="00717759"/>
    <w:rsid w:val="007C5334"/>
    <w:rsid w:val="008E5261"/>
    <w:rsid w:val="00933D19"/>
    <w:rsid w:val="00951BFD"/>
    <w:rsid w:val="009E54A3"/>
    <w:rsid w:val="00AF1E5B"/>
    <w:rsid w:val="00B52073"/>
    <w:rsid w:val="00C15BAA"/>
    <w:rsid w:val="00F243DC"/>
    <w:rsid w:val="00F24B36"/>
    <w:rsid w:val="00FF7A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DE417C"/>
  <w15:docId w15:val="{8254F17C-5730-497A-9F88-8202D51E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3A4"/>
    <w:pPr>
      <w:overflowPunct w:val="0"/>
      <w:autoSpaceDE w:val="0"/>
      <w:autoSpaceDN w:val="0"/>
      <w:adjustRightInd w:val="0"/>
      <w:textAlignment w:val="baseline"/>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F53A4"/>
  </w:style>
  <w:style w:type="paragraph" w:styleId="Header">
    <w:name w:val="header"/>
    <w:basedOn w:val="Normal"/>
    <w:rsid w:val="001F53A4"/>
    <w:pPr>
      <w:tabs>
        <w:tab w:val="center" w:pos="4320"/>
        <w:tab w:val="right" w:pos="8640"/>
      </w:tabs>
    </w:pPr>
  </w:style>
  <w:style w:type="paragraph" w:styleId="Footer">
    <w:name w:val="footer"/>
    <w:basedOn w:val="Normal"/>
    <w:rsid w:val="001F53A4"/>
    <w:pPr>
      <w:tabs>
        <w:tab w:val="center" w:pos="4320"/>
        <w:tab w:val="right" w:pos="8640"/>
      </w:tabs>
    </w:pPr>
  </w:style>
  <w:style w:type="paragraph" w:styleId="BalloonText">
    <w:name w:val="Balloon Text"/>
    <w:basedOn w:val="Normal"/>
    <w:semiHidden/>
    <w:rsid w:val="00343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474BE5B0-616C-478F-8AFA-DC70F963282C}"/>
</file>

<file path=customXml/itemProps2.xml><?xml version="1.0" encoding="utf-8"?>
<ds:datastoreItem xmlns:ds="http://schemas.openxmlformats.org/officeDocument/2006/customXml" ds:itemID="{04ABC5EC-83CA-4D57-9545-86FC60C73869}"/>
</file>

<file path=customXml/itemProps3.xml><?xml version="1.0" encoding="utf-8"?>
<ds:datastoreItem xmlns:ds="http://schemas.openxmlformats.org/officeDocument/2006/customXml" ds:itemID="{97F41216-D63E-4CE8-AFF9-0132E5B2A46A}"/>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POLICY TYPE:</vt:lpstr>
    </vt:vector>
  </TitlesOfParts>
  <Company>Department of Education</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TYPE:</dc:title>
  <dc:creator>Myrna Gillis</dc:creator>
  <cp:lastModifiedBy>Murphy, Clare (ASD-S)</cp:lastModifiedBy>
  <cp:revision>3</cp:revision>
  <cp:lastPrinted>2012-10-03T14:00:00Z</cp:lastPrinted>
  <dcterms:created xsi:type="dcterms:W3CDTF">2017-02-09T15:07:00Z</dcterms:created>
  <dcterms:modified xsi:type="dcterms:W3CDTF">2017-03-23T12:03:00Z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