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6FD2" w14:textId="77777777" w:rsidR="0062037C" w:rsidRDefault="0062037C">
      <w:pPr>
        <w:pStyle w:val="Style1"/>
      </w:pPr>
    </w:p>
    <w:p w14:paraId="1CFA6FD3" w14:textId="77777777" w:rsidR="0062037C" w:rsidRDefault="004E023D" w:rsidP="004E023D">
      <w:pPr>
        <w:pBdr>
          <w:top w:val="single" w:sz="18" w:space="1" w:color="auto"/>
          <w:left w:val="single" w:sz="18" w:space="4" w:color="auto"/>
          <w:bottom w:val="single" w:sz="18" w:space="17" w:color="auto"/>
          <w:right w:val="single" w:sz="18" w:space="3" w:color="auto"/>
        </w:pBdr>
        <w:jc w:val="center"/>
        <w:rPr>
          <w:b/>
        </w:rPr>
      </w:pPr>
      <w:r w:rsidRPr="004E023D">
        <w:rPr>
          <w:b/>
        </w:rPr>
        <w:t>ANGLOPHONE SOUTH DISTRICT EDUCATION COUNCIL</w:t>
      </w:r>
    </w:p>
    <w:p w14:paraId="1CFA6FD4" w14:textId="77777777" w:rsidR="004E023D" w:rsidRPr="004E023D" w:rsidRDefault="004E023D" w:rsidP="004E023D">
      <w:pPr>
        <w:pBdr>
          <w:top w:val="single" w:sz="18" w:space="1" w:color="auto"/>
          <w:left w:val="single" w:sz="18" w:space="4" w:color="auto"/>
          <w:bottom w:val="single" w:sz="18" w:space="17" w:color="auto"/>
          <w:right w:val="single" w:sz="18" w:space="3" w:color="auto"/>
        </w:pBdr>
        <w:jc w:val="center"/>
        <w:rPr>
          <w:b/>
        </w:rPr>
      </w:pPr>
    </w:p>
    <w:p w14:paraId="1CFA6FD5" w14:textId="77777777" w:rsidR="0062037C" w:rsidRPr="008B7C4A" w:rsidRDefault="0062037C" w:rsidP="00680BC7">
      <w:pPr>
        <w:pBdr>
          <w:top w:val="single" w:sz="18" w:space="1" w:color="auto"/>
          <w:left w:val="single" w:sz="18" w:space="4" w:color="auto"/>
          <w:bottom w:val="single" w:sz="18" w:space="17" w:color="auto"/>
          <w:right w:val="single" w:sz="18" w:space="3" w:color="auto"/>
        </w:pBdr>
        <w:rPr>
          <w:rFonts w:eastAsia="Batang"/>
        </w:rPr>
      </w:pPr>
      <w:r w:rsidRPr="008B7C4A">
        <w:rPr>
          <w:rFonts w:eastAsia="Batang"/>
          <w:b/>
        </w:rPr>
        <w:t>POLICY TYPE:</w:t>
      </w:r>
      <w:r w:rsidRPr="008B7C4A">
        <w:rPr>
          <w:rFonts w:eastAsia="Batang"/>
        </w:rPr>
        <w:tab/>
      </w:r>
      <w:r w:rsidR="009F1E88" w:rsidRPr="008B7C4A">
        <w:rPr>
          <w:rFonts w:eastAsia="Batang"/>
        </w:rPr>
        <w:t>Executive Limitations</w:t>
      </w:r>
      <w:r w:rsidR="009F1E88" w:rsidRPr="008B7C4A">
        <w:rPr>
          <w:rFonts w:eastAsia="Batang"/>
        </w:rPr>
        <w:tab/>
      </w:r>
      <w:r w:rsidR="009F1E88" w:rsidRPr="008B7C4A">
        <w:rPr>
          <w:rFonts w:eastAsia="Batang"/>
        </w:rPr>
        <w:tab/>
      </w:r>
      <w:r w:rsidRPr="008B7C4A">
        <w:rPr>
          <w:rFonts w:eastAsia="Batang"/>
          <w:b/>
        </w:rPr>
        <w:t>POLICY NO.:</w:t>
      </w:r>
      <w:r w:rsidR="00680BC7" w:rsidRPr="008B7C4A">
        <w:rPr>
          <w:rFonts w:eastAsia="Batang"/>
          <w:b/>
        </w:rPr>
        <w:t xml:space="preserve">  </w:t>
      </w:r>
      <w:r w:rsidR="009F1E88" w:rsidRPr="001009E0">
        <w:rPr>
          <w:rFonts w:eastAsia="Batang"/>
        </w:rPr>
        <w:t>EL-</w:t>
      </w:r>
      <w:r w:rsidR="004E023D" w:rsidRPr="001009E0">
        <w:rPr>
          <w:rFonts w:eastAsia="Batang"/>
        </w:rPr>
        <w:t>1</w:t>
      </w:r>
      <w:r w:rsidR="00692849" w:rsidRPr="001009E0">
        <w:rPr>
          <w:rFonts w:eastAsia="Batang"/>
        </w:rPr>
        <w:t>0</w:t>
      </w:r>
    </w:p>
    <w:p w14:paraId="1CFA6FD6" w14:textId="77777777" w:rsidR="0062037C" w:rsidRPr="008B7C4A" w:rsidRDefault="0062037C" w:rsidP="00680BC7">
      <w:pPr>
        <w:pBdr>
          <w:top w:val="single" w:sz="18" w:space="1" w:color="auto"/>
          <w:left w:val="single" w:sz="18" w:space="4" w:color="auto"/>
          <w:bottom w:val="single" w:sz="18" w:space="17" w:color="auto"/>
          <w:right w:val="single" w:sz="18" w:space="3" w:color="auto"/>
        </w:pBdr>
        <w:rPr>
          <w:rFonts w:eastAsia="Batang"/>
        </w:rPr>
      </w:pPr>
    </w:p>
    <w:p w14:paraId="1CFA6FD7" w14:textId="77777777" w:rsidR="00204E27" w:rsidRPr="008B7C4A" w:rsidRDefault="0062037C" w:rsidP="00680BC7">
      <w:pPr>
        <w:pBdr>
          <w:top w:val="single" w:sz="18" w:space="1" w:color="auto"/>
          <w:left w:val="single" w:sz="18" w:space="4" w:color="auto"/>
          <w:bottom w:val="single" w:sz="18" w:space="17" w:color="auto"/>
          <w:right w:val="single" w:sz="18" w:space="3" w:color="auto"/>
        </w:pBdr>
        <w:rPr>
          <w:rFonts w:eastAsia="Batang"/>
          <w:b/>
        </w:rPr>
      </w:pPr>
      <w:r w:rsidRPr="008B7C4A">
        <w:rPr>
          <w:rFonts w:eastAsia="Batang"/>
          <w:b/>
        </w:rPr>
        <w:t>POLICY TITLE:</w:t>
      </w:r>
      <w:r w:rsidRPr="008B7C4A">
        <w:rPr>
          <w:rFonts w:eastAsia="Batang"/>
          <w:b/>
        </w:rPr>
        <w:tab/>
      </w:r>
      <w:r w:rsidR="008733BA" w:rsidRPr="008B7C4A">
        <w:rPr>
          <w:rFonts w:eastAsia="Batang"/>
        </w:rPr>
        <w:t>Maintaining Viable High Schools</w:t>
      </w:r>
      <w:r w:rsidR="00204E27" w:rsidRPr="008B7C4A">
        <w:rPr>
          <w:rFonts w:eastAsia="Batang"/>
          <w:b/>
        </w:rPr>
        <w:t xml:space="preserve"> </w:t>
      </w:r>
      <w:r w:rsidR="00680BC7" w:rsidRPr="008B7C4A">
        <w:rPr>
          <w:rFonts w:eastAsia="Batang"/>
          <w:b/>
        </w:rPr>
        <w:tab/>
      </w:r>
      <w:r w:rsidR="00204E27" w:rsidRPr="008B7C4A">
        <w:rPr>
          <w:rFonts w:eastAsia="Batang"/>
          <w:b/>
        </w:rPr>
        <w:t>PAGE:</w:t>
      </w:r>
      <w:r w:rsidR="00680BC7" w:rsidRPr="008B7C4A">
        <w:rPr>
          <w:rFonts w:eastAsia="Batang"/>
          <w:b/>
        </w:rPr>
        <w:t xml:space="preserve"> </w:t>
      </w:r>
      <w:r w:rsidR="00204E27" w:rsidRPr="008B7C4A">
        <w:rPr>
          <w:rFonts w:eastAsia="Batang"/>
          <w:b/>
        </w:rPr>
        <w:t xml:space="preserve"> 1 of</w:t>
      </w:r>
      <w:r w:rsidR="00124774" w:rsidRPr="008B7C4A">
        <w:rPr>
          <w:rFonts w:eastAsia="Batang"/>
          <w:b/>
        </w:rPr>
        <w:t xml:space="preserve"> 1</w:t>
      </w:r>
    </w:p>
    <w:p w14:paraId="1CFA6FD8" w14:textId="02910771" w:rsidR="0062037C" w:rsidRPr="008B7C4A" w:rsidRDefault="000055EB" w:rsidP="00680BC7">
      <w:pPr>
        <w:pBdr>
          <w:top w:val="single" w:sz="18" w:space="1" w:color="auto"/>
          <w:left w:val="single" w:sz="18" w:space="4" w:color="auto"/>
          <w:bottom w:val="single" w:sz="18" w:space="17" w:color="auto"/>
          <w:right w:val="single" w:sz="18" w:space="3" w:color="auto"/>
        </w:pBdr>
        <w:rPr>
          <w:rFonts w:eastAsia="Batang"/>
        </w:rPr>
      </w:pPr>
      <w:r w:rsidRPr="008B7C4A">
        <w:rPr>
          <w:rFonts w:eastAsia="Batang"/>
          <w:b/>
        </w:rPr>
        <w:tab/>
      </w:r>
      <w:r w:rsidRPr="008B7C4A">
        <w:rPr>
          <w:rFonts w:eastAsia="Batang"/>
          <w:b/>
        </w:rPr>
        <w:tab/>
      </w:r>
      <w:r w:rsidRPr="008B7C4A">
        <w:rPr>
          <w:rFonts w:eastAsia="Batang"/>
          <w:b/>
        </w:rPr>
        <w:tab/>
      </w:r>
      <w:r w:rsidR="00B2011C">
        <w:rPr>
          <w:rFonts w:eastAsia="Batang"/>
        </w:rPr>
        <w:t>Saint John Education Centre</w:t>
      </w:r>
      <w:r w:rsidRPr="008B7C4A">
        <w:rPr>
          <w:rFonts w:eastAsia="Batang"/>
        </w:rPr>
        <w:tab/>
      </w:r>
    </w:p>
    <w:p w14:paraId="1CFA6FD9" w14:textId="77777777" w:rsidR="0062037C" w:rsidRPr="008B7C4A" w:rsidRDefault="0062037C" w:rsidP="00680BC7">
      <w:pPr>
        <w:pBdr>
          <w:top w:val="single" w:sz="18" w:space="1" w:color="auto"/>
          <w:left w:val="single" w:sz="18" w:space="4" w:color="auto"/>
          <w:bottom w:val="single" w:sz="18" w:space="17" w:color="auto"/>
          <w:right w:val="single" w:sz="18" w:space="3" w:color="auto"/>
        </w:pBdr>
        <w:rPr>
          <w:rFonts w:eastAsia="Batang"/>
        </w:rPr>
      </w:pPr>
      <w:r w:rsidRPr="008B7C4A">
        <w:rPr>
          <w:rFonts w:eastAsia="Batang"/>
          <w:b/>
        </w:rPr>
        <w:t>LEGISLATIVE AUTHORITY:</w:t>
      </w:r>
      <w:r w:rsidR="00680BC7" w:rsidRPr="008B7C4A">
        <w:rPr>
          <w:rFonts w:eastAsia="Batang"/>
          <w:b/>
        </w:rPr>
        <w:t xml:space="preserve">     </w:t>
      </w:r>
      <w:r w:rsidR="00680BC7" w:rsidRPr="008B7C4A">
        <w:rPr>
          <w:rFonts w:eastAsia="Batang"/>
        </w:rPr>
        <w:t>Education Act Section 11(1), 11(4a)</w:t>
      </w:r>
    </w:p>
    <w:p w14:paraId="1CFA6FDA" w14:textId="77777777" w:rsidR="000A464A" w:rsidRPr="00680BC7" w:rsidRDefault="00FC576F">
      <w:pPr>
        <w:pStyle w:val="Style1"/>
        <w:rPr>
          <w:rFonts w:ascii="Batang" w:eastAsia="Batang" w:hAnsi="Batang"/>
        </w:rPr>
      </w:pP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sidR="000A464A" w:rsidRPr="000A464A">
        <w:rPr>
          <w:rFonts w:ascii="Batang" w:eastAsia="Batang" w:hAnsi="Batang"/>
          <w:b/>
        </w:rPr>
        <w:tab/>
      </w:r>
      <w:r w:rsidR="000A464A" w:rsidRPr="000A464A">
        <w:rPr>
          <w:rFonts w:ascii="Batang" w:eastAsia="Batang" w:hAnsi="Batang"/>
          <w:b/>
        </w:rPr>
        <w:tab/>
      </w:r>
      <w:r w:rsidR="000A464A" w:rsidRPr="000A464A">
        <w:rPr>
          <w:rFonts w:ascii="Batang" w:eastAsia="Batang" w:hAnsi="Batang"/>
          <w:b/>
        </w:rPr>
        <w:tab/>
      </w:r>
      <w:r w:rsidR="000A464A" w:rsidRPr="000A464A">
        <w:rPr>
          <w:rFonts w:ascii="Batang" w:eastAsia="Batang" w:hAnsi="Batang"/>
          <w:b/>
        </w:rPr>
        <w:tab/>
      </w:r>
    </w:p>
    <w:p w14:paraId="1CFA6FDB" w14:textId="77777777" w:rsidR="00680BC7" w:rsidRPr="008B7C4A" w:rsidRDefault="00680BC7" w:rsidP="00BB35F8">
      <w:pPr>
        <w:pStyle w:val="Style1"/>
        <w:jc w:val="both"/>
        <w:rPr>
          <w:rFonts w:eastAsia="Batang"/>
        </w:rPr>
      </w:pPr>
      <w:r w:rsidRPr="008B7C4A">
        <w:rPr>
          <w:rFonts w:eastAsia="Batang"/>
        </w:rPr>
        <w:t>The Superintendent has legislated authority to determine the placement of pupils in classes, grades, programs, services and schools according to the needs of the pupils and the resources of the school district, subject to any policies or directive of the District Education Council.</w:t>
      </w:r>
    </w:p>
    <w:p w14:paraId="1CFA6FDC" w14:textId="77777777" w:rsidR="00680BC7" w:rsidRPr="008B7C4A" w:rsidRDefault="00680BC7" w:rsidP="00BB35F8">
      <w:pPr>
        <w:pStyle w:val="Style1"/>
        <w:jc w:val="both"/>
        <w:rPr>
          <w:rFonts w:eastAsia="Batang"/>
        </w:rPr>
      </w:pPr>
    </w:p>
    <w:p w14:paraId="1CFA6FDD" w14:textId="29B848B1" w:rsidR="00204E27" w:rsidRPr="008B7C4A" w:rsidRDefault="004E023D" w:rsidP="00BB35F8">
      <w:pPr>
        <w:pStyle w:val="Style1"/>
        <w:jc w:val="both"/>
        <w:rPr>
          <w:rFonts w:eastAsia="Batang"/>
        </w:rPr>
      </w:pPr>
      <w:r w:rsidRPr="008B7C4A">
        <w:rPr>
          <w:rFonts w:eastAsia="Batang"/>
        </w:rPr>
        <w:t xml:space="preserve">The Anglophone South </w:t>
      </w:r>
      <w:r w:rsidR="00680BC7" w:rsidRPr="008B7C4A">
        <w:rPr>
          <w:rFonts w:eastAsia="Batang"/>
        </w:rPr>
        <w:t>District</w:t>
      </w:r>
      <w:r w:rsidRPr="008B7C4A">
        <w:rPr>
          <w:rFonts w:eastAsia="Batang"/>
        </w:rPr>
        <w:t xml:space="preserve"> </w:t>
      </w:r>
      <w:r w:rsidR="00680BC7" w:rsidRPr="008B7C4A">
        <w:rPr>
          <w:rFonts w:eastAsia="Batang"/>
        </w:rPr>
        <w:t>Education Council values the idea of school choice at the high school level</w:t>
      </w:r>
      <w:r w:rsidR="00BB35F8" w:rsidRPr="008B7C4A">
        <w:rPr>
          <w:rFonts w:eastAsia="Batang"/>
        </w:rPr>
        <w:t xml:space="preserve"> </w:t>
      </w:r>
      <w:r w:rsidR="00692849" w:rsidRPr="008B7C4A">
        <w:rPr>
          <w:rFonts w:eastAsia="Batang"/>
        </w:rPr>
        <w:t xml:space="preserve">within the </w:t>
      </w:r>
      <w:r w:rsidR="00B2011C">
        <w:rPr>
          <w:rFonts w:eastAsia="Batang"/>
        </w:rPr>
        <w:t>Saint John Education Centre</w:t>
      </w:r>
      <w:r w:rsidR="00692849" w:rsidRPr="008B7C4A">
        <w:rPr>
          <w:rFonts w:eastAsia="Batang"/>
        </w:rPr>
        <w:t xml:space="preserve"> </w:t>
      </w:r>
      <w:r w:rsidR="00BB35F8" w:rsidRPr="008B7C4A">
        <w:rPr>
          <w:rFonts w:eastAsia="Batang"/>
        </w:rPr>
        <w:t xml:space="preserve">with the proviso that the student population at that level is distributed such that the viability of the four high schools is maintained and course offerings are equitable at each of the high schools.  Therefore, the Superintendent </w:t>
      </w:r>
      <w:r w:rsidR="004105B0" w:rsidRPr="008B7C4A">
        <w:rPr>
          <w:rFonts w:eastAsia="Batang"/>
        </w:rPr>
        <w:t xml:space="preserve">in providing school choice at the high school level </w:t>
      </w:r>
      <w:r w:rsidR="00BB35F8" w:rsidRPr="008B7C4A">
        <w:rPr>
          <w:rFonts w:eastAsia="Batang"/>
        </w:rPr>
        <w:t>shall not</w:t>
      </w:r>
      <w:r w:rsidR="004105B0" w:rsidRPr="008B7C4A">
        <w:rPr>
          <w:rFonts w:eastAsia="Batang"/>
        </w:rPr>
        <w:t xml:space="preserve"> fail to ensure </w:t>
      </w:r>
      <w:r w:rsidRPr="008B7C4A">
        <w:rPr>
          <w:rFonts w:eastAsia="Batang"/>
        </w:rPr>
        <w:t>that:</w:t>
      </w:r>
    </w:p>
    <w:p w14:paraId="1CFA6FDE" w14:textId="77777777" w:rsidR="00BB35F8" w:rsidRPr="008B7C4A" w:rsidRDefault="00BB35F8">
      <w:pPr>
        <w:pStyle w:val="Style1"/>
        <w:rPr>
          <w:rFonts w:eastAsia="Batang"/>
        </w:rPr>
      </w:pPr>
    </w:p>
    <w:p w14:paraId="1CFA6FDF" w14:textId="77777777" w:rsidR="00BB35F8" w:rsidRPr="008B7C4A" w:rsidRDefault="004105B0" w:rsidP="004105B0">
      <w:pPr>
        <w:pStyle w:val="Style1"/>
        <w:numPr>
          <w:ilvl w:val="0"/>
          <w:numId w:val="1"/>
        </w:numPr>
        <w:rPr>
          <w:rFonts w:eastAsia="Batang"/>
        </w:rPr>
      </w:pPr>
      <w:r w:rsidRPr="008B7C4A">
        <w:rPr>
          <w:rFonts w:eastAsia="Batang"/>
        </w:rPr>
        <w:t>there is equitable distribution of students among the four existing high schools;</w:t>
      </w:r>
    </w:p>
    <w:p w14:paraId="1CFA6FE0" w14:textId="77777777" w:rsidR="004105B0" w:rsidRPr="008B7C4A" w:rsidRDefault="004105B0" w:rsidP="004105B0">
      <w:pPr>
        <w:pStyle w:val="Style1"/>
        <w:numPr>
          <w:ilvl w:val="0"/>
          <w:numId w:val="1"/>
        </w:numPr>
        <w:rPr>
          <w:rFonts w:eastAsia="Batang"/>
        </w:rPr>
      </w:pPr>
      <w:r w:rsidRPr="008B7C4A">
        <w:rPr>
          <w:rFonts w:eastAsia="Batang"/>
        </w:rPr>
        <w:t xml:space="preserve">no high school will be required to accommodate students above their </w:t>
      </w:r>
      <w:r w:rsidR="003E6F12" w:rsidRPr="008B7C4A">
        <w:rPr>
          <w:rFonts w:eastAsia="Batang"/>
        </w:rPr>
        <w:t>functional</w:t>
      </w:r>
      <w:r w:rsidRPr="008B7C4A">
        <w:rPr>
          <w:rFonts w:eastAsia="Batang"/>
        </w:rPr>
        <w:t xml:space="preserve"> capacity;</w:t>
      </w:r>
    </w:p>
    <w:p w14:paraId="1CFA6FE1" w14:textId="77777777" w:rsidR="004105B0" w:rsidRPr="008B7C4A" w:rsidRDefault="00793B6F" w:rsidP="004105B0">
      <w:pPr>
        <w:pStyle w:val="Style1"/>
        <w:numPr>
          <w:ilvl w:val="0"/>
          <w:numId w:val="1"/>
        </w:numPr>
        <w:rPr>
          <w:rFonts w:eastAsia="Batang"/>
        </w:rPr>
      </w:pPr>
      <w:r w:rsidRPr="008B7C4A">
        <w:rPr>
          <w:rFonts w:eastAsia="Batang"/>
        </w:rPr>
        <w:t>each high school teaches the courses necessary to enable all students to meet their graduation requirements, including key compulsory courses at three levels;</w:t>
      </w:r>
    </w:p>
    <w:p w14:paraId="1CFA6FE2" w14:textId="77777777" w:rsidR="004105B0" w:rsidRPr="008B7C4A" w:rsidRDefault="004105B0" w:rsidP="004105B0">
      <w:pPr>
        <w:pStyle w:val="Style1"/>
        <w:numPr>
          <w:ilvl w:val="0"/>
          <w:numId w:val="1"/>
        </w:numPr>
        <w:rPr>
          <w:rFonts w:eastAsia="Batang"/>
        </w:rPr>
      </w:pPr>
      <w:r w:rsidRPr="008B7C4A">
        <w:rPr>
          <w:rFonts w:eastAsia="Batang"/>
        </w:rPr>
        <w:t>a Handbook for High School Registration will be maintained clearly outlining the registration process;</w:t>
      </w:r>
      <w:r w:rsidR="000A464A" w:rsidRPr="008B7C4A">
        <w:rPr>
          <w:rFonts w:eastAsia="Batang"/>
        </w:rPr>
        <w:t xml:space="preserve"> and</w:t>
      </w:r>
    </w:p>
    <w:p w14:paraId="1CFA6FE3" w14:textId="57CEDADE" w:rsidR="004105B0" w:rsidRPr="008B7C4A" w:rsidRDefault="004105B0" w:rsidP="004105B0">
      <w:pPr>
        <w:pStyle w:val="Style1"/>
        <w:numPr>
          <w:ilvl w:val="0"/>
          <w:numId w:val="1"/>
        </w:numPr>
        <w:rPr>
          <w:rFonts w:eastAsia="Batang"/>
        </w:rPr>
      </w:pPr>
      <w:proofErr w:type="gramStart"/>
      <w:r w:rsidRPr="008B7C4A">
        <w:rPr>
          <w:rFonts w:eastAsia="Batang"/>
        </w:rPr>
        <w:t>the</w:t>
      </w:r>
      <w:proofErr w:type="gramEnd"/>
      <w:r w:rsidRPr="008B7C4A">
        <w:rPr>
          <w:rFonts w:eastAsia="Batang"/>
        </w:rPr>
        <w:t xml:space="preserve"> above-noted registration process will be widely communicated</w:t>
      </w:r>
      <w:r w:rsidR="00692849" w:rsidRPr="008B7C4A">
        <w:rPr>
          <w:rFonts w:eastAsia="Batang"/>
        </w:rPr>
        <w:t xml:space="preserve"> </w:t>
      </w:r>
      <w:r w:rsidR="00793B6F" w:rsidRPr="008B7C4A">
        <w:rPr>
          <w:rFonts w:eastAsia="Batang"/>
        </w:rPr>
        <w:t xml:space="preserve">in the </w:t>
      </w:r>
      <w:r w:rsidR="00B2011C">
        <w:rPr>
          <w:rFonts w:eastAsia="Batang"/>
        </w:rPr>
        <w:t>Saint John Education Centre</w:t>
      </w:r>
      <w:bookmarkStart w:id="0" w:name="_GoBack"/>
      <w:bookmarkEnd w:id="0"/>
      <w:r w:rsidR="00793B6F" w:rsidRPr="008B7C4A">
        <w:rPr>
          <w:rFonts w:eastAsia="Batang"/>
        </w:rPr>
        <w:t>.</w:t>
      </w:r>
    </w:p>
    <w:sectPr w:rsidR="004105B0" w:rsidRPr="008B7C4A" w:rsidSect="00E346CA">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E218" w14:textId="77777777" w:rsidR="00804FD9" w:rsidRDefault="00804FD9">
      <w:r>
        <w:separator/>
      </w:r>
    </w:p>
  </w:endnote>
  <w:endnote w:type="continuationSeparator" w:id="0">
    <w:p w14:paraId="544E718D" w14:textId="77777777" w:rsidR="00804FD9" w:rsidRDefault="0080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6FE8" w14:textId="77777777" w:rsidR="00F86B86" w:rsidRDefault="00F86B86">
    <w:pPr>
      <w:pStyle w:val="Footer"/>
      <w:pBdr>
        <w:bottom w:val="single" w:sz="12" w:space="1" w:color="auto"/>
      </w:pBdr>
    </w:pPr>
  </w:p>
  <w:p w14:paraId="1CFA6FE9" w14:textId="75B0C5E7" w:rsidR="00692849" w:rsidRDefault="00F86B86">
    <w:pPr>
      <w:pStyle w:val="Footer"/>
      <w:rPr>
        <w:b/>
        <w:sz w:val="20"/>
      </w:rPr>
    </w:pPr>
    <w:r>
      <w:rPr>
        <w:b/>
        <w:sz w:val="20"/>
      </w:rPr>
      <w:t>Adopted:</w:t>
    </w:r>
    <w:r w:rsidR="00B2011C">
      <w:rPr>
        <w:b/>
        <w:sz w:val="20"/>
      </w:rPr>
      <w:t xml:space="preserve">  October 2012</w:t>
    </w:r>
    <w:r w:rsidR="00820D1C">
      <w:rPr>
        <w:b/>
        <w:sz w:val="20"/>
      </w:rPr>
      <w:t xml:space="preserve">                 </w:t>
    </w:r>
  </w:p>
  <w:p w14:paraId="1CFA6FEA" w14:textId="77777777" w:rsidR="00F86B86" w:rsidRDefault="00F86B86">
    <w:pPr>
      <w:pStyle w:val="Footer"/>
      <w:rPr>
        <w:b/>
        <w:sz w:val="20"/>
      </w:rPr>
    </w:pPr>
    <w:r>
      <w:rPr>
        <w:b/>
        <w:sz w:val="20"/>
      </w:rPr>
      <w:t>Revised:</w:t>
    </w:r>
  </w:p>
  <w:p w14:paraId="1CFA6FEB" w14:textId="54E0434C" w:rsidR="00F86B86" w:rsidRDefault="00B2011C">
    <w:pPr>
      <w:pStyle w:val="Footer"/>
      <w:rPr>
        <w:b/>
        <w:sz w:val="20"/>
      </w:rPr>
    </w:pPr>
    <w:r>
      <w:rPr>
        <w:b/>
        <w:sz w:val="20"/>
      </w:rPr>
      <w:t xml:space="preserve">Review Method:  </w:t>
    </w:r>
    <w:r w:rsidR="00F86B86">
      <w:rPr>
        <w:b/>
        <w:sz w:val="20"/>
      </w:rPr>
      <w:t>Executive Report</w:t>
    </w:r>
    <w:r w:rsidR="00F86B86">
      <w:rPr>
        <w:b/>
        <w:sz w:val="20"/>
      </w:rPr>
      <w:tab/>
    </w:r>
    <w:r w:rsidR="00F86B86">
      <w:rPr>
        <w:b/>
        <w:sz w:val="20"/>
      </w:rPr>
      <w:tab/>
    </w:r>
  </w:p>
  <w:p w14:paraId="1CFA6FEC" w14:textId="3ECACE59" w:rsidR="00F86B86" w:rsidRDefault="00B2011C">
    <w:pPr>
      <w:pStyle w:val="Footer"/>
      <w:rPr>
        <w:b/>
        <w:sz w:val="20"/>
      </w:rPr>
    </w:pPr>
    <w:r>
      <w:rPr>
        <w:b/>
        <w:sz w:val="20"/>
      </w:rPr>
      <w:t xml:space="preserve">Review Frequency:  </w:t>
    </w:r>
    <w:r w:rsidR="00F86B86">
      <w:rPr>
        <w:b/>
        <w:sz w:val="20"/>
      </w:rPr>
      <w:t>Annual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E86E7" w14:textId="77777777" w:rsidR="00804FD9" w:rsidRDefault="00804FD9">
      <w:r>
        <w:separator/>
      </w:r>
    </w:p>
  </w:footnote>
  <w:footnote w:type="continuationSeparator" w:id="0">
    <w:p w14:paraId="71473E97" w14:textId="77777777" w:rsidR="00804FD9" w:rsidRDefault="0080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4C97"/>
    <w:multiLevelType w:val="hybridMultilevel"/>
    <w:tmpl w:val="9084ADF0"/>
    <w:lvl w:ilvl="0" w:tplc="5E44C7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88"/>
    <w:rsid w:val="000055EB"/>
    <w:rsid w:val="000A464A"/>
    <w:rsid w:val="000B598C"/>
    <w:rsid w:val="001009E0"/>
    <w:rsid w:val="00124774"/>
    <w:rsid w:val="00204E27"/>
    <w:rsid w:val="00227BD8"/>
    <w:rsid w:val="00246A73"/>
    <w:rsid w:val="00267BD8"/>
    <w:rsid w:val="003378EE"/>
    <w:rsid w:val="003463A1"/>
    <w:rsid w:val="003D2FBF"/>
    <w:rsid w:val="003E6F12"/>
    <w:rsid w:val="004105B0"/>
    <w:rsid w:val="00453E08"/>
    <w:rsid w:val="004E023D"/>
    <w:rsid w:val="004E058B"/>
    <w:rsid w:val="0050742F"/>
    <w:rsid w:val="00592EF0"/>
    <w:rsid w:val="005C542B"/>
    <w:rsid w:val="005D28BD"/>
    <w:rsid w:val="005E25E9"/>
    <w:rsid w:val="0062037C"/>
    <w:rsid w:val="00652814"/>
    <w:rsid w:val="00680BC7"/>
    <w:rsid w:val="00692849"/>
    <w:rsid w:val="006D42FB"/>
    <w:rsid w:val="00793B6F"/>
    <w:rsid w:val="00804FD9"/>
    <w:rsid w:val="00820D1C"/>
    <w:rsid w:val="008733BA"/>
    <w:rsid w:val="008B7C4A"/>
    <w:rsid w:val="009F1E88"/>
    <w:rsid w:val="009F4BCB"/>
    <w:rsid w:val="00A62F46"/>
    <w:rsid w:val="00B2011C"/>
    <w:rsid w:val="00BB35F8"/>
    <w:rsid w:val="00BB48EB"/>
    <w:rsid w:val="00BC698E"/>
    <w:rsid w:val="00BD3F58"/>
    <w:rsid w:val="00C01FDD"/>
    <w:rsid w:val="00E27636"/>
    <w:rsid w:val="00E346CA"/>
    <w:rsid w:val="00E46E7A"/>
    <w:rsid w:val="00E560BD"/>
    <w:rsid w:val="00E841F7"/>
    <w:rsid w:val="00F03B87"/>
    <w:rsid w:val="00F75559"/>
    <w:rsid w:val="00F86B86"/>
    <w:rsid w:val="00FA4ED7"/>
    <w:rsid w:val="00FA5B7A"/>
    <w:rsid w:val="00FC5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CA"/>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46CA"/>
  </w:style>
  <w:style w:type="paragraph" w:styleId="Header">
    <w:name w:val="header"/>
    <w:basedOn w:val="Normal"/>
    <w:rsid w:val="00E346CA"/>
    <w:pPr>
      <w:tabs>
        <w:tab w:val="center" w:pos="4320"/>
        <w:tab w:val="right" w:pos="8640"/>
      </w:tabs>
    </w:pPr>
  </w:style>
  <w:style w:type="paragraph" w:styleId="Footer">
    <w:name w:val="footer"/>
    <w:basedOn w:val="Normal"/>
    <w:rsid w:val="00E346CA"/>
    <w:pPr>
      <w:tabs>
        <w:tab w:val="center" w:pos="4320"/>
        <w:tab w:val="right" w:pos="8640"/>
      </w:tabs>
    </w:pPr>
  </w:style>
  <w:style w:type="paragraph" w:styleId="BalloonText">
    <w:name w:val="Balloon Text"/>
    <w:basedOn w:val="Normal"/>
    <w:semiHidden/>
    <w:rsid w:val="000A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CA"/>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46CA"/>
  </w:style>
  <w:style w:type="paragraph" w:styleId="Header">
    <w:name w:val="header"/>
    <w:basedOn w:val="Normal"/>
    <w:rsid w:val="00E346CA"/>
    <w:pPr>
      <w:tabs>
        <w:tab w:val="center" w:pos="4320"/>
        <w:tab w:val="right" w:pos="8640"/>
      </w:tabs>
    </w:pPr>
  </w:style>
  <w:style w:type="paragraph" w:styleId="Footer">
    <w:name w:val="footer"/>
    <w:basedOn w:val="Normal"/>
    <w:rsid w:val="00E346CA"/>
    <w:pPr>
      <w:tabs>
        <w:tab w:val="center" w:pos="4320"/>
        <w:tab w:val="right" w:pos="8640"/>
      </w:tabs>
    </w:pPr>
  </w:style>
  <w:style w:type="paragraph" w:styleId="BalloonText">
    <w:name w:val="Balloon Text"/>
    <w:basedOn w:val="Normal"/>
    <w:semiHidden/>
    <w:rsid w:val="000A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B967AA8-4A8C-4E7E-B262-E30A25057E7B}"/>
</file>

<file path=customXml/itemProps2.xml><?xml version="1.0" encoding="utf-8"?>
<ds:datastoreItem xmlns:ds="http://schemas.openxmlformats.org/officeDocument/2006/customXml" ds:itemID="{696ED3A3-60F8-4D39-ABC5-E41DD6287D24}"/>
</file>

<file path=customXml/itemProps3.xml><?xml version="1.0" encoding="utf-8"?>
<ds:datastoreItem xmlns:ds="http://schemas.openxmlformats.org/officeDocument/2006/customXml" ds:itemID="{753DCC38-B80D-4E14-8D27-51035FD0709B}"/>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 TYPE:</vt:lpstr>
    </vt:vector>
  </TitlesOfParts>
  <Company>Department of Education</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creator>Myrna Gillis</dc:creator>
  <cp:lastModifiedBy>Murphy, Clare (ASD-S)</cp:lastModifiedBy>
  <cp:revision>2</cp:revision>
  <cp:lastPrinted>2012-10-03T14:42:00Z</cp:lastPrinted>
  <dcterms:created xsi:type="dcterms:W3CDTF">2013-09-24T11:41:00Z</dcterms:created>
  <dcterms:modified xsi:type="dcterms:W3CDTF">2013-09-24T11:41:00Z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