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6E" w:rsidRPr="001D7E36" w:rsidRDefault="00F35F6E"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F35F6E" w:rsidRPr="001D7E36" w:rsidRDefault="00F35F6E"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332D"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490 Woodward Avenue</w:t>
                            </w:r>
                          </w:p>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Saint John, New Brunswick</w:t>
                            </w:r>
                          </w:p>
                          <w:p w:rsidR="00F35F6E" w:rsidRPr="007D7D18" w:rsidRDefault="00F35F6E"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490 Woodward Avenue</w:t>
                      </w:r>
                    </w:p>
                    <w:p w:rsidR="00F35F6E" w:rsidRPr="007D7D18" w:rsidRDefault="00F35F6E" w:rsidP="00FA0C27">
                      <w:pPr>
                        <w:rPr>
                          <w:rFonts w:asciiTheme="minorHAnsi" w:hAnsiTheme="minorHAnsi"/>
                          <w:sz w:val="22"/>
                          <w:lang w:val="en-CA"/>
                        </w:rPr>
                      </w:pPr>
                      <w:r w:rsidRPr="007D7D18">
                        <w:rPr>
                          <w:rFonts w:asciiTheme="minorHAnsi" w:hAnsiTheme="minorHAnsi"/>
                          <w:sz w:val="22"/>
                          <w:lang w:val="en-CA"/>
                        </w:rPr>
                        <w:t>Saint John, New Brunswick</w:t>
                      </w:r>
                    </w:p>
                    <w:p w:rsidR="00F35F6E" w:rsidRPr="007D7D18" w:rsidRDefault="00F35F6E"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t>Revised</w:t>
      </w:r>
      <w:r w:rsidR="008B797B" w:rsidRPr="003D12AA">
        <w:rPr>
          <w:rFonts w:eastAsia="Batang"/>
          <w:b/>
        </w:rPr>
        <w:t xml:space="preserve">:  </w:t>
      </w:r>
      <w:r w:rsidR="00F35F6E">
        <w:rPr>
          <w:rFonts w:eastAsia="Batang"/>
          <w:b/>
        </w:rPr>
        <w:t>January 2018</w:t>
      </w:r>
    </w:p>
    <w:p w:rsidR="00F35F6E" w:rsidRDefault="00F35F6E"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282244">
        <w:rPr>
          <w:rFonts w:eastAsia="Batang"/>
          <w:b/>
        </w:rPr>
        <w:t xml:space="preserve">8 </w:t>
      </w:r>
      <w:r w:rsidR="00D12838">
        <w:rPr>
          <w:rFonts w:eastAsia="Batang"/>
          <w:b/>
        </w:rPr>
        <w:t>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22203E">
        <w:rPr>
          <w:rFonts w:eastAsia="Batang"/>
          <w:b/>
        </w:rPr>
        <w:t>Information Sessions</w:t>
      </w:r>
      <w:r w:rsidR="00D41FC9" w:rsidRPr="006D2838">
        <w:rPr>
          <w:rFonts w:eastAsia="Batang"/>
          <w:b/>
        </w:rPr>
        <w:t xml:space="preserve"> for Middle School Students</w:t>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282244">
        <w:rPr>
          <w:rFonts w:eastAsia="Batang"/>
          <w:b/>
        </w:rPr>
        <w:t>8</w:t>
      </w:r>
      <w:r w:rsidR="002B1C89">
        <w:rPr>
          <w:rFonts w:eastAsia="Batang"/>
          <w:b/>
        </w:rPr>
        <w:t>-201</w:t>
      </w:r>
      <w:r w:rsidR="00282244">
        <w:rPr>
          <w:rFonts w:eastAsia="Batang"/>
          <w:b/>
        </w:rPr>
        <w:t>9</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282244">
            <w:pPr>
              <w:jc w:val="center"/>
              <w:rPr>
                <w:rFonts w:eastAsia="Batang"/>
              </w:rPr>
            </w:pPr>
            <w:r>
              <w:rPr>
                <w:rFonts w:eastAsia="Batang"/>
              </w:rPr>
              <w:t>7</w:t>
            </w:r>
            <w:r w:rsidR="00282244">
              <w:rPr>
                <w:rFonts w:eastAsia="Batang"/>
              </w:rPr>
              <w:t>47</w:t>
            </w:r>
          </w:p>
        </w:tc>
        <w:tc>
          <w:tcPr>
            <w:tcW w:w="2430" w:type="dxa"/>
          </w:tcPr>
          <w:p w:rsidR="00452FB0" w:rsidRPr="002B1C89" w:rsidRDefault="005846B1" w:rsidP="00282244">
            <w:pPr>
              <w:rPr>
                <w:rFonts w:eastAsia="Batang"/>
              </w:rPr>
            </w:pPr>
            <w:r>
              <w:rPr>
                <w:rFonts w:eastAsia="Batang"/>
              </w:rPr>
              <w:t>1</w:t>
            </w:r>
            <w:r w:rsidR="00282244">
              <w:rPr>
                <w:rFonts w:eastAsia="Batang"/>
              </w:rPr>
              <w:t>90</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282244">
        <w:rPr>
          <w:rFonts w:eastAsia="Batang"/>
          <w:b/>
        </w:rPr>
        <w:t>8</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282244">
        <w:rPr>
          <w:rFonts w:eastAsia="Batang"/>
        </w:rPr>
        <w:t>8</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282244">
        <w:rPr>
          <w:rFonts w:eastAsia="Batang"/>
          <w:b/>
        </w:rPr>
        <w:t>8</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Pr="00282244" w:rsidRDefault="007C1580" w:rsidP="00BA3DDB">
      <w:pPr>
        <w:rPr>
          <w:rFonts w:eastAsia="Batang"/>
          <w:b/>
        </w:rPr>
      </w:pPr>
      <w:r w:rsidRPr="00282244">
        <w:rPr>
          <w:rFonts w:eastAsia="Batang"/>
          <w:b/>
        </w:rPr>
        <w:t xml:space="preserve">It is the responsibility of the student and/or parent/guardian to ensure that registration forms are obtained, completed and submitted to the </w:t>
      </w:r>
      <w:r w:rsidR="009B2790" w:rsidRPr="00282244">
        <w:rPr>
          <w:rFonts w:eastAsia="Batang"/>
          <w:b/>
        </w:rPr>
        <w:t>Saint John Education Centre office</w:t>
      </w:r>
      <w:r w:rsidRPr="00282244">
        <w:rPr>
          <w:rFonts w:eastAsia="Batang"/>
          <w:b/>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w:t>
      </w:r>
      <w:r w:rsidR="00282244">
        <w:rPr>
          <w:rFonts w:eastAsia="Batang"/>
        </w:rPr>
        <w:t xml:space="preserve">January </w:t>
      </w:r>
      <w:r w:rsidR="00FC5CBA">
        <w:rPr>
          <w:rFonts w:eastAsia="Batang"/>
        </w:rPr>
        <w:t>29</w:t>
      </w:r>
      <w:r w:rsidR="00FC5CBA" w:rsidRPr="00FC5CBA">
        <w:rPr>
          <w:rFonts w:eastAsia="Batang"/>
          <w:vertAlign w:val="superscript"/>
        </w:rPr>
        <w:t>th</w:t>
      </w:r>
      <w:r w:rsidR="00282244">
        <w:rPr>
          <w:rFonts w:eastAsia="Batang"/>
        </w:rPr>
        <w:t>, 2018</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sidR="00574CFD">
        <w:rPr>
          <w:rFonts w:eastAsia="Batang"/>
        </w:rPr>
        <w:t>, 2018.</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574CFD" w:rsidRDefault="001908BD" w:rsidP="00505431">
      <w:pPr>
        <w:jc w:val="center"/>
        <w:rPr>
          <w:rFonts w:eastAsia="Batang"/>
          <w:b/>
          <w:u w:val="single"/>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p>
    <w:p w:rsidR="00946A5B" w:rsidRPr="005A0B77" w:rsidRDefault="00946A5B" w:rsidP="00505431">
      <w:pPr>
        <w:jc w:val="center"/>
        <w:rPr>
          <w:rFonts w:eastAsia="Batang"/>
        </w:rPr>
      </w:pPr>
      <w:r w:rsidRPr="005A0B77">
        <w:rPr>
          <w:rFonts w:eastAsia="Batang"/>
          <w:b/>
          <w:u w:val="single"/>
        </w:rPr>
        <w:t>SCHOOL</w:t>
      </w:r>
      <w:r w:rsidR="00F06EEF" w:rsidRPr="005A0B77">
        <w:rPr>
          <w:rFonts w:eastAsia="Batang"/>
          <w:b/>
          <w:u w:val="single"/>
        </w:rPr>
        <w:t xml:space="preserve"> </w:t>
      </w:r>
      <w:r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574CFD">
        <w:rPr>
          <w:rFonts w:eastAsia="Batang"/>
        </w:rPr>
        <w:t xml:space="preserve"> and</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282244" w:rsidP="00D47A4B">
      <w:pPr>
        <w:rPr>
          <w:rFonts w:eastAsia="Batang"/>
          <w:b/>
          <w:u w:val="single"/>
        </w:rPr>
      </w:pPr>
      <w:r w:rsidRPr="00FC5CBA">
        <w:rPr>
          <w:rFonts w:eastAsia="Batang"/>
          <w:b/>
          <w:u w:val="single"/>
        </w:rPr>
        <w:t>Information Sessions</w:t>
      </w:r>
    </w:p>
    <w:p w:rsidR="00837FEB" w:rsidRPr="006D2838" w:rsidRDefault="0022203E" w:rsidP="00D47A4B">
      <w:pPr>
        <w:rPr>
          <w:rFonts w:eastAsia="Batang"/>
        </w:rPr>
      </w:pPr>
      <w:r>
        <w:rPr>
          <w:rFonts w:eastAsia="Batang"/>
        </w:rPr>
        <w:t>Information Sessions</w:t>
      </w:r>
      <w:r w:rsidR="00837FEB" w:rsidRPr="006D2838">
        <w:rPr>
          <w:rFonts w:eastAsia="Batang"/>
        </w:rPr>
        <w:t xml:space="preserve"> </w:t>
      </w:r>
      <w:r w:rsidR="003C2A42">
        <w:rPr>
          <w:rFonts w:eastAsia="Batang"/>
        </w:rPr>
        <w:t xml:space="preserve">at high schools </w:t>
      </w:r>
      <w:r w:rsidR="00837FEB" w:rsidRPr="006D2838">
        <w:rPr>
          <w:rFonts w:eastAsia="Batang"/>
        </w:rPr>
        <w:t xml:space="preserve">will run from </w:t>
      </w:r>
      <w:r w:rsidR="00837FEB" w:rsidRPr="00084DB9">
        <w:rPr>
          <w:rFonts w:eastAsia="Batang"/>
          <w:b/>
        </w:rPr>
        <w:t>6:30 p.m</w:t>
      </w:r>
      <w:r w:rsidR="00740187" w:rsidRPr="00084DB9">
        <w:rPr>
          <w:rFonts w:eastAsia="Batang"/>
          <w:b/>
        </w:rPr>
        <w:t>.</w:t>
      </w:r>
      <w:r w:rsidR="00837FEB" w:rsidRPr="00084DB9">
        <w:rPr>
          <w:rFonts w:eastAsia="Batang"/>
          <w:b/>
        </w:rPr>
        <w:t xml:space="preserve"> to 8:30 p.m.</w:t>
      </w:r>
      <w:r w:rsidR="00837FEB" w:rsidRPr="006D2838">
        <w:rPr>
          <w:rFonts w:eastAsia="Batang"/>
        </w:rPr>
        <w:t xml:space="preserve">  It is important to</w:t>
      </w:r>
      <w:r w:rsidR="00837FEB" w:rsidRPr="006D2838">
        <w:rPr>
          <w:rFonts w:eastAsia="Batang"/>
          <w:b/>
        </w:rPr>
        <w:t xml:space="preserve"> adhere to this timeframe,</w:t>
      </w:r>
      <w:r w:rsidR="00837FEB"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w:t>
      </w:r>
      <w:r w:rsidR="0022203E" w:rsidRPr="00FC5CBA">
        <w:rPr>
          <w:rFonts w:eastAsia="Batang"/>
        </w:rPr>
        <w:t>information sessions</w:t>
      </w:r>
      <w:r w:rsidR="009061E8" w:rsidRPr="006D2838">
        <w:rPr>
          <w:rFonts w:eastAsia="Batang"/>
        </w:rPr>
        <w:t xml:space="preserve">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w:t>
      </w:r>
      <w:r w:rsidR="0022203E" w:rsidRPr="00FC5CBA">
        <w:rPr>
          <w:rFonts w:eastAsia="Batang"/>
        </w:rPr>
        <w:t>Information Session</w:t>
      </w:r>
      <w:r w:rsidRPr="006D2838">
        <w:rPr>
          <w:rFonts w:eastAsia="Batang"/>
        </w:rPr>
        <w:t xml:space="preserv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w:t>
      </w:r>
      <w:r w:rsidR="0022203E" w:rsidRPr="00FC5CBA">
        <w:rPr>
          <w:rFonts w:eastAsia="Batang"/>
        </w:rPr>
        <w:t>Information Sessions</w:t>
      </w:r>
      <w:r w:rsidRPr="00FC5CBA">
        <w:rPr>
          <w:rFonts w:eastAsia="Batang"/>
        </w:rPr>
        <w:t>.</w:t>
      </w:r>
      <w:r w:rsidRPr="006D2838">
        <w:rPr>
          <w:rFonts w:eastAsia="Batang"/>
        </w:rPr>
        <w:t xml:space="preserve">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w:t>
      </w:r>
      <w:r w:rsidR="0022203E" w:rsidRPr="00FC5CBA">
        <w:rPr>
          <w:rFonts w:eastAsia="Batang"/>
        </w:rPr>
        <w:t>Information Session</w:t>
      </w:r>
      <w:r w:rsidRPr="006D2838">
        <w:rPr>
          <w:rFonts w:eastAsia="Batang"/>
        </w:rPr>
        <w:t xml:space="preserve"> for their </w:t>
      </w:r>
      <w:r w:rsidR="009B38FC">
        <w:rPr>
          <w:rFonts w:eastAsia="Batang"/>
        </w:rPr>
        <w:t>zoned</w:t>
      </w:r>
      <w:r w:rsidRPr="006D2838">
        <w:rPr>
          <w:rFonts w:eastAsia="Batang"/>
        </w:rPr>
        <w:t xml:space="preserve"> school as identified in the letter </w:t>
      </w:r>
      <w:r w:rsidR="0022203E">
        <w:rPr>
          <w:rFonts w:eastAsia="Batang"/>
        </w:rPr>
        <w:t>included</w:t>
      </w:r>
      <w:r w:rsidRPr="006D2838">
        <w:rPr>
          <w:rFonts w:eastAsia="Batang"/>
        </w:rPr>
        <w:t xml:space="preserve"> with the registration information.  If they wish to be considered for a school other than their </w:t>
      </w:r>
      <w:r w:rsidR="009B38FC">
        <w:rPr>
          <w:rFonts w:eastAsia="Batang"/>
        </w:rPr>
        <w:t>zoned</w:t>
      </w:r>
      <w:r w:rsidRPr="006D2838">
        <w:rPr>
          <w:rFonts w:eastAsia="Batang"/>
        </w:rPr>
        <w:t xml:space="preserve"> school, they may also attend the </w:t>
      </w:r>
      <w:r w:rsidR="0022203E" w:rsidRPr="00FC5CBA">
        <w:rPr>
          <w:rFonts w:eastAsia="Batang"/>
        </w:rPr>
        <w:t>Information Session</w:t>
      </w:r>
      <w:r w:rsidRPr="00FC5CBA">
        <w:rPr>
          <w:rFonts w:eastAsia="Batang"/>
        </w:rPr>
        <w:t xml:space="preserve"> for</w:t>
      </w:r>
      <w:r w:rsidRPr="006D2838">
        <w:rPr>
          <w:rFonts w:eastAsia="Batang"/>
        </w:rPr>
        <w:t xml:space="preserve">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E41C75">
        <w:rPr>
          <w:rFonts w:eastAsia="Batang"/>
          <w:b/>
          <w:sz w:val="32"/>
          <w:szCs w:val="32"/>
          <w:u w:val="single"/>
        </w:rPr>
        <w:t>8</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E41C75">
        <w:rPr>
          <w:rFonts w:eastAsia="Batang"/>
          <w:b/>
        </w:rPr>
        <w:t>8</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E41C75">
        <w:rPr>
          <w:rFonts w:eastAsia="Batang"/>
          <w:b/>
        </w:rPr>
        <w:t>5</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E41C75">
        <w:rPr>
          <w:rFonts w:eastAsia="Batang"/>
          <w:b/>
        </w:rPr>
        <w:t>8</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E41C75">
        <w:rPr>
          <w:rFonts w:eastAsia="Batang"/>
          <w:b/>
        </w:rPr>
        <w:t>5</w:t>
      </w:r>
      <w:r w:rsidRPr="00084DB9">
        <w:rPr>
          <w:rFonts w:eastAsia="Batang"/>
          <w:b/>
        </w:rPr>
        <w:t>, 201</w:t>
      </w:r>
      <w:r w:rsidR="00E41C75">
        <w:rPr>
          <w:rFonts w:eastAsia="Batang"/>
          <w:b/>
        </w:rPr>
        <w:t>8</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w:t>
      </w:r>
      <w:r w:rsidR="00E41C75">
        <w:rPr>
          <w:rFonts w:eastAsia="Batang"/>
          <w:b/>
        </w:rPr>
        <w:t>6</w:t>
      </w:r>
      <w:r w:rsidR="005A1FA6" w:rsidRPr="00084DB9">
        <w:rPr>
          <w:rFonts w:eastAsia="Batang"/>
          <w:b/>
        </w:rPr>
        <w:t>-</w:t>
      </w:r>
      <w:r w:rsidR="00B85592">
        <w:rPr>
          <w:rFonts w:eastAsia="Batang"/>
          <w:b/>
        </w:rPr>
        <w:t>2</w:t>
      </w:r>
      <w:r w:rsidR="00E41C75">
        <w:rPr>
          <w:rFonts w:eastAsia="Batang"/>
          <w:b/>
        </w:rPr>
        <w:t>0</w:t>
      </w:r>
      <w:r w:rsidR="005A1FA6" w:rsidRPr="00084DB9">
        <w:rPr>
          <w:rFonts w:eastAsia="Batang"/>
          <w:b/>
        </w:rPr>
        <w:t>, 201</w:t>
      </w:r>
      <w:r w:rsidR="00E41C75">
        <w:rPr>
          <w:rFonts w:eastAsia="Batang"/>
          <w:b/>
        </w:rPr>
        <w:t>8</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w:t>
      </w:r>
      <w:r w:rsidR="00E41C75">
        <w:rPr>
          <w:rFonts w:eastAsia="Batang"/>
          <w:b/>
        </w:rPr>
        <w:t>7</w:t>
      </w:r>
      <w:r w:rsidR="005A1FA6" w:rsidRPr="00084DB9">
        <w:rPr>
          <w:rFonts w:eastAsia="Batang"/>
          <w:b/>
        </w:rPr>
        <w:t>, 201</w:t>
      </w:r>
      <w:r w:rsidR="00E41C75">
        <w:rPr>
          <w:rFonts w:eastAsia="Batang"/>
          <w:b/>
        </w:rPr>
        <w:t>8</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136E50">
        <w:rPr>
          <w:rFonts w:eastAsia="Batang"/>
        </w:rPr>
        <w:t>8</w:t>
      </w:r>
    </w:p>
    <w:p w:rsidR="009C303B" w:rsidRPr="006D2838" w:rsidRDefault="009C303B" w:rsidP="00D47A4B">
      <w:pPr>
        <w:rPr>
          <w:rFonts w:eastAsia="Batang"/>
        </w:rPr>
      </w:pPr>
    </w:p>
    <w:p w:rsidR="009C303B" w:rsidRPr="001D0F3D" w:rsidRDefault="00E41C75" w:rsidP="00D47A4B">
      <w:pPr>
        <w:rPr>
          <w:rFonts w:eastAsia="Batang"/>
          <w:b/>
          <w:u w:val="single"/>
        </w:rPr>
      </w:pPr>
      <w:r>
        <w:rPr>
          <w:rFonts w:eastAsia="Batang"/>
          <w:b/>
          <w:u w:val="single"/>
        </w:rPr>
        <w:t xml:space="preserve">INFORMATION </w:t>
      </w:r>
      <w:r w:rsidR="004422C1">
        <w:rPr>
          <w:rFonts w:eastAsia="Batang"/>
          <w:b/>
          <w:u w:val="single"/>
        </w:rPr>
        <w:t>SESSIONS</w:t>
      </w:r>
      <w:r w:rsidR="001D0F3D" w:rsidRPr="001D0F3D">
        <w:rPr>
          <w:rFonts w:eastAsia="Batang"/>
          <w:b/>
          <w:u w:val="single"/>
        </w:rPr>
        <w:t>:</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C54611">
        <w:rPr>
          <w:rFonts w:eastAsia="Batang"/>
        </w:rPr>
        <w:t>5</w:t>
      </w:r>
      <w:r w:rsidRPr="00084DB9">
        <w:rPr>
          <w:rFonts w:eastAsia="Batang"/>
        </w:rPr>
        <w:t>, 20</w:t>
      </w:r>
      <w:r w:rsidR="00662533" w:rsidRPr="00084DB9">
        <w:rPr>
          <w:rFonts w:eastAsia="Batang"/>
        </w:rPr>
        <w:t>1</w:t>
      </w:r>
      <w:r w:rsidR="00136E50">
        <w:rPr>
          <w:rFonts w:eastAsia="Batang"/>
        </w:rPr>
        <w:t>8</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C54611">
        <w:rPr>
          <w:rFonts w:eastAsia="Batang"/>
        </w:rPr>
        <w:t>5</w:t>
      </w:r>
      <w:r w:rsidR="007D20D7" w:rsidRPr="00084DB9">
        <w:rPr>
          <w:rFonts w:eastAsia="Batang"/>
        </w:rPr>
        <w:t>, 201</w:t>
      </w:r>
      <w:r w:rsidR="00136E50">
        <w:rPr>
          <w:rFonts w:eastAsia="Batang"/>
        </w:rPr>
        <w:t>8</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C54611">
        <w:rPr>
          <w:rFonts w:eastAsia="Batang"/>
        </w:rPr>
        <w:t>6</w:t>
      </w:r>
      <w:r w:rsidR="007D20D7" w:rsidRPr="00084DB9">
        <w:rPr>
          <w:rFonts w:eastAsia="Batang"/>
        </w:rPr>
        <w:t>, 201</w:t>
      </w:r>
      <w:r w:rsidR="00136E50">
        <w:rPr>
          <w:rFonts w:eastAsia="Batang"/>
        </w:rPr>
        <w:t>8</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C54611">
        <w:rPr>
          <w:rFonts w:eastAsia="Batang"/>
        </w:rPr>
        <w:t>7</w:t>
      </w:r>
      <w:r w:rsidR="007D20D7" w:rsidRPr="00084DB9">
        <w:rPr>
          <w:rFonts w:eastAsia="Batang"/>
        </w:rPr>
        <w:t>, 201</w:t>
      </w:r>
      <w:r w:rsidR="00136E50">
        <w:rPr>
          <w:rFonts w:eastAsia="Batang"/>
        </w:rPr>
        <w:t>8</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C54611">
        <w:rPr>
          <w:rFonts w:eastAsia="Batang"/>
        </w:rPr>
        <w:t>8</w:t>
      </w:r>
      <w:r w:rsidR="007D20D7" w:rsidRPr="00084DB9">
        <w:rPr>
          <w:rFonts w:eastAsia="Batang"/>
        </w:rPr>
        <w:t>, 201</w:t>
      </w:r>
      <w:r w:rsidR="00136E50">
        <w:rPr>
          <w:rFonts w:eastAsia="Batang"/>
        </w:rPr>
        <w:t>8</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While everyone is welcome to attend any </w:t>
      </w:r>
      <w:r w:rsidR="00136E50" w:rsidRPr="00FC5CBA">
        <w:rPr>
          <w:rFonts w:eastAsia="Batang"/>
        </w:rPr>
        <w:t>information session</w:t>
      </w:r>
      <w:r w:rsidR="00F06EEF" w:rsidRPr="00FC5CBA">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w:t>
      </w:r>
      <w:r w:rsidRPr="00FC5CBA">
        <w:rPr>
          <w:rFonts w:eastAsia="Batang"/>
        </w:rPr>
        <w:t xml:space="preserve">the </w:t>
      </w:r>
      <w:r w:rsidR="00136E50" w:rsidRPr="00FC5CBA">
        <w:rPr>
          <w:rFonts w:eastAsia="Batang"/>
        </w:rPr>
        <w:t>information session</w:t>
      </w:r>
      <w:r w:rsidRPr="006D2838">
        <w:rPr>
          <w:rFonts w:eastAsia="Batang"/>
        </w:rPr>
        <w:t xml:space="preserv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w:t>
      </w:r>
      <w:r w:rsidR="00136E50" w:rsidRPr="00FC5CBA">
        <w:rPr>
          <w:rFonts w:eastAsia="Batang"/>
        </w:rPr>
        <w:t>information session</w:t>
      </w:r>
      <w:r w:rsidRPr="00FC5CBA">
        <w:rPr>
          <w:rFonts w:eastAsia="Batang"/>
        </w:rPr>
        <w:t xml:space="preserve"> for</w:t>
      </w:r>
      <w:r w:rsidRPr="006D2838">
        <w:rPr>
          <w:rFonts w:eastAsia="Batang"/>
        </w:rPr>
        <w:t xml:space="preserve">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C54611">
        <w:rPr>
          <w:rFonts w:eastAsia="Batang"/>
        </w:rPr>
        <w:t>8</w:t>
      </w:r>
      <w:r w:rsidR="00084DB9" w:rsidRPr="00084DB9">
        <w:rPr>
          <w:rFonts w:eastAsia="Batang"/>
        </w:rPr>
        <w:t xml:space="preserve"> </w:t>
      </w:r>
      <w:r w:rsidR="00024924" w:rsidRPr="00084DB9">
        <w:rPr>
          <w:rFonts w:eastAsia="Batang"/>
        </w:rPr>
        <w:t>– 201</w:t>
      </w:r>
      <w:r w:rsidR="00C54611">
        <w:rPr>
          <w:rFonts w:eastAsia="Batang"/>
        </w:rPr>
        <w:t>9</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C54611">
            <w:pPr>
              <w:jc w:val="center"/>
              <w:rPr>
                <w:rFonts w:eastAsia="Batang"/>
                <w:highlight w:val="yellow"/>
              </w:rPr>
            </w:pPr>
            <w:r>
              <w:rPr>
                <w:rFonts w:eastAsia="Batang"/>
              </w:rPr>
              <w:t>7</w:t>
            </w:r>
            <w:r w:rsidR="00C54611">
              <w:rPr>
                <w:rFonts w:eastAsia="Batang"/>
              </w:rPr>
              <w:t>4</w:t>
            </w:r>
            <w:r>
              <w:rPr>
                <w:rFonts w:eastAsia="Batang"/>
              </w:rPr>
              <w:t>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C54611">
        <w:rPr>
          <w:rFonts w:eastAsia="Batang"/>
          <w:b/>
        </w:rPr>
        <w:t>Thursday</w:t>
      </w:r>
      <w:r w:rsidR="005C6429" w:rsidRPr="00535FC5">
        <w:rPr>
          <w:rFonts w:eastAsia="Batang"/>
          <w:b/>
        </w:rPr>
        <w:t xml:space="preserve">, February </w:t>
      </w:r>
      <w:r w:rsidR="000E6CC6">
        <w:rPr>
          <w:rFonts w:eastAsia="Batang"/>
          <w:b/>
        </w:rPr>
        <w:t>1</w:t>
      </w:r>
      <w:r w:rsidR="007D20D7" w:rsidRPr="00535FC5">
        <w:rPr>
          <w:rFonts w:eastAsia="Batang"/>
          <w:b/>
        </w:rPr>
        <w:t>, 201</w:t>
      </w:r>
      <w:r w:rsidR="00C54611">
        <w:rPr>
          <w:rFonts w:eastAsia="Batang"/>
          <w:b/>
        </w:rPr>
        <w:t>8</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C54611">
        <w:rPr>
          <w:rFonts w:eastAsia="Batang"/>
          <w:b/>
          <w:bCs/>
        </w:rPr>
        <w:t>5</w:t>
      </w:r>
      <w:r w:rsidR="00535FC5" w:rsidRPr="00535FC5">
        <w:rPr>
          <w:rFonts w:eastAsia="Batang"/>
          <w:b/>
          <w:bCs/>
        </w:rPr>
        <w:t>, 201</w:t>
      </w:r>
      <w:r w:rsidR="00C54611">
        <w:rPr>
          <w:rFonts w:eastAsia="Batang"/>
          <w:b/>
          <w:bCs/>
        </w:rPr>
        <w:t>8</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136E50">
        <w:rPr>
          <w:rFonts w:eastAsia="Batang"/>
          <w:b/>
        </w:rPr>
        <w:t>5</w:t>
      </w:r>
      <w:r w:rsidR="007B1BD6" w:rsidRPr="00535FC5">
        <w:rPr>
          <w:rFonts w:eastAsia="Batang"/>
          <w:b/>
        </w:rPr>
        <w:t>, 201</w:t>
      </w:r>
      <w:r w:rsidR="00136E50">
        <w:rPr>
          <w:rFonts w:eastAsia="Batang"/>
          <w:b/>
        </w:rPr>
        <w:t>8</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136E50">
        <w:rPr>
          <w:rFonts w:eastAsia="Batang"/>
          <w:b/>
        </w:rPr>
        <w:t>8</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136E50">
        <w:rPr>
          <w:b/>
          <w:sz w:val="20"/>
          <w:szCs w:val="20"/>
        </w:rPr>
        <w:t>8</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9FF8"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AA63"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t>Thursday</w:t>
      </w:r>
      <w:r w:rsidR="00662C78" w:rsidRPr="00535FC5">
        <w:rPr>
          <w:b/>
          <w:bCs/>
          <w:sz w:val="20"/>
          <w:szCs w:val="20"/>
        </w:rPr>
        <w:t>, F</w:t>
      </w:r>
      <w:r w:rsidR="006E1F43" w:rsidRPr="00535FC5">
        <w:rPr>
          <w:b/>
          <w:bCs/>
          <w:sz w:val="20"/>
          <w:szCs w:val="20"/>
        </w:rPr>
        <w:t xml:space="preserve">ebruary </w:t>
      </w:r>
      <w:r>
        <w:rPr>
          <w:b/>
          <w:bCs/>
          <w:sz w:val="20"/>
          <w:szCs w:val="20"/>
        </w:rPr>
        <w:t>1</w:t>
      </w:r>
      <w:r w:rsidR="00136E50">
        <w:rPr>
          <w:b/>
          <w:bCs/>
          <w:sz w:val="20"/>
          <w:szCs w:val="20"/>
        </w:rPr>
        <w:t>5</w:t>
      </w:r>
      <w:r>
        <w:rPr>
          <w:b/>
          <w:bCs/>
          <w:sz w:val="20"/>
          <w:szCs w:val="20"/>
        </w:rPr>
        <w:t>, 201</w:t>
      </w:r>
      <w:r w:rsidR="00136E50">
        <w:rPr>
          <w:b/>
          <w:bCs/>
          <w:sz w:val="20"/>
          <w:szCs w:val="20"/>
        </w:rPr>
        <w:t>8</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DC524C">
                            <w:pPr>
                              <w:rPr>
                                <w:b/>
                                <w:bCs/>
                                <w:sz w:val="22"/>
                              </w:rPr>
                            </w:pPr>
                            <w:r>
                              <w:rPr>
                                <w:b/>
                                <w:bCs/>
                                <w:sz w:val="22"/>
                              </w:rPr>
                              <w:t>ADMINISTRATIVE USE ONLY: Please check that form is filled in correctly and has parent/guardian signature.</w:t>
                            </w:r>
                          </w:p>
                          <w:p w:rsidR="00F35F6E" w:rsidRDefault="00F35F6E" w:rsidP="00DC524C">
                            <w:pPr>
                              <w:rPr>
                                <w:b/>
                                <w:bCs/>
                                <w:sz w:val="22"/>
                              </w:rPr>
                            </w:pPr>
                          </w:p>
                          <w:p w:rsidR="00F35F6E" w:rsidRDefault="00F35F6E"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DC524C">
                            <w:pPr>
                              <w:rPr>
                                <w:b/>
                                <w:bCs/>
                                <w:sz w:val="22"/>
                                <w:u w:val="single"/>
                              </w:rPr>
                            </w:pPr>
                          </w:p>
                          <w:p w:rsidR="00F35F6E" w:rsidRDefault="00F35F6E" w:rsidP="00DC524C">
                            <w:pPr>
                              <w:rPr>
                                <w:b/>
                                <w:bCs/>
                                <w:sz w:val="22"/>
                                <w:u w:val="single"/>
                              </w:rPr>
                            </w:pPr>
                          </w:p>
                          <w:p w:rsidR="00F35F6E" w:rsidRDefault="00F35F6E"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F35F6E" w:rsidRDefault="00F35F6E" w:rsidP="00DC524C">
                      <w:pPr>
                        <w:rPr>
                          <w:b/>
                          <w:bCs/>
                          <w:sz w:val="22"/>
                        </w:rPr>
                      </w:pPr>
                      <w:r>
                        <w:rPr>
                          <w:b/>
                          <w:bCs/>
                          <w:sz w:val="22"/>
                        </w:rPr>
                        <w:t>ADMINISTRATIVE USE ONLY: Please check that form is filled in correctly and has parent/guardian signature.</w:t>
                      </w:r>
                    </w:p>
                    <w:p w:rsidR="00F35F6E" w:rsidRDefault="00F35F6E" w:rsidP="00DC524C">
                      <w:pPr>
                        <w:rPr>
                          <w:b/>
                          <w:bCs/>
                          <w:sz w:val="22"/>
                        </w:rPr>
                      </w:pPr>
                    </w:p>
                    <w:p w:rsidR="00F35F6E" w:rsidRDefault="00F35F6E"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DC524C">
                      <w:pPr>
                        <w:rPr>
                          <w:b/>
                          <w:bCs/>
                          <w:sz w:val="22"/>
                          <w:u w:val="single"/>
                        </w:rPr>
                      </w:pPr>
                    </w:p>
                    <w:p w:rsidR="00F35F6E" w:rsidRDefault="00F35F6E" w:rsidP="00DC524C">
                      <w:pPr>
                        <w:rPr>
                          <w:b/>
                          <w:bCs/>
                          <w:sz w:val="22"/>
                          <w:u w:val="single"/>
                        </w:rPr>
                      </w:pPr>
                    </w:p>
                    <w:p w:rsidR="00F35F6E" w:rsidRDefault="00F35F6E"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136E50">
        <w:rPr>
          <w:b/>
          <w:sz w:val="20"/>
          <w:szCs w:val="20"/>
        </w:rPr>
        <w:t>8</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ECFF"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340D"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r w:rsidR="00FC5CBA" w:rsidRPr="00DC524C">
        <w:rPr>
          <w:sz w:val="20"/>
          <w:szCs w:val="20"/>
        </w:rPr>
        <w:t>) _</w:t>
      </w:r>
      <w:bookmarkStart w:id="0" w:name="_GoBack"/>
      <w:bookmarkEnd w:id="0"/>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sidR="00136E50">
        <w:rPr>
          <w:b/>
          <w:bCs/>
          <w:sz w:val="20"/>
          <w:szCs w:val="20"/>
        </w:rPr>
        <w:t>5</w:t>
      </w:r>
      <w:r w:rsidR="00AF12AF" w:rsidRPr="00535FC5">
        <w:rPr>
          <w:b/>
          <w:bCs/>
          <w:sz w:val="20"/>
          <w:szCs w:val="20"/>
        </w:rPr>
        <w:t>, 201</w:t>
      </w:r>
      <w:r w:rsidR="00136E50">
        <w:rPr>
          <w:b/>
          <w:bCs/>
          <w:sz w:val="20"/>
          <w:szCs w:val="20"/>
        </w:rPr>
        <w:t>8</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136E50">
        <w:rPr>
          <w:b/>
          <w:sz w:val="20"/>
          <w:szCs w:val="20"/>
        </w:rPr>
        <w:t>8</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D785"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88EE"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w:t>
      </w:r>
      <w:r w:rsidR="00FC5CBA" w:rsidRPr="00DC524C">
        <w:rPr>
          <w:sz w:val="20"/>
          <w:szCs w:val="20"/>
        </w:rPr>
        <w:t>) _</w:t>
      </w:r>
      <w:r w:rsidRPr="00DC524C">
        <w:rPr>
          <w:sz w:val="20"/>
          <w:szCs w:val="20"/>
        </w:rPr>
        <w:t>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sidR="00136E50">
        <w:rPr>
          <w:b/>
          <w:bCs/>
          <w:sz w:val="20"/>
          <w:szCs w:val="20"/>
        </w:rPr>
        <w:t>5</w:t>
      </w:r>
      <w:r w:rsidR="00AF12AF" w:rsidRPr="00535FC5">
        <w:rPr>
          <w:b/>
          <w:bCs/>
          <w:sz w:val="20"/>
          <w:szCs w:val="20"/>
        </w:rPr>
        <w:t>, 201</w:t>
      </w:r>
      <w:r w:rsidR="00136E50">
        <w:rPr>
          <w:b/>
          <w:bCs/>
          <w:sz w:val="20"/>
          <w:szCs w:val="20"/>
        </w:rPr>
        <w:t>8</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F35F6E" w:rsidRDefault="00F35F6E" w:rsidP="00AF12AF">
                      <w:pPr>
                        <w:rPr>
                          <w:b/>
                          <w:bCs/>
                          <w:sz w:val="22"/>
                        </w:rPr>
                      </w:pPr>
                      <w:r>
                        <w:rPr>
                          <w:b/>
                          <w:bCs/>
                          <w:sz w:val="22"/>
                        </w:rPr>
                        <w:t>ADMINISTRATIVE USE ONLY: Please check that form is filled in correctly and has parent/guardian signature.</w:t>
                      </w:r>
                    </w:p>
                    <w:p w:rsidR="00F35F6E" w:rsidRDefault="00F35F6E" w:rsidP="00AF12AF">
                      <w:pPr>
                        <w:rPr>
                          <w:b/>
                          <w:bCs/>
                          <w:sz w:val="22"/>
                        </w:rPr>
                      </w:pPr>
                    </w:p>
                    <w:p w:rsidR="00F35F6E" w:rsidRDefault="00F35F6E"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F35F6E" w:rsidRPr="00903561" w:rsidRDefault="00F35F6E"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F35F6E" w:rsidRDefault="00F35F6E" w:rsidP="00AF12AF">
                      <w:pPr>
                        <w:rPr>
                          <w:b/>
                          <w:bCs/>
                          <w:sz w:val="22"/>
                          <w:u w:val="single"/>
                        </w:rPr>
                      </w:pPr>
                    </w:p>
                    <w:p w:rsidR="00F35F6E" w:rsidRDefault="00F35F6E" w:rsidP="00AF12AF">
                      <w:pPr>
                        <w:rPr>
                          <w:b/>
                          <w:bCs/>
                          <w:sz w:val="22"/>
                          <w:u w:val="single"/>
                        </w:rPr>
                      </w:pPr>
                    </w:p>
                    <w:p w:rsidR="00F35F6E" w:rsidRDefault="00F35F6E"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136E50">
        <w:rPr>
          <w:b/>
          <w:u w:val="single"/>
        </w:rPr>
        <w:t>8</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136E50">
        <w:t>8</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136E50">
        <w:t>8</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136E50">
        <w:rPr>
          <w:b/>
        </w:rPr>
        <w:t>5</w:t>
      </w:r>
      <w:r w:rsidR="00AF12AF" w:rsidRPr="00535FC5">
        <w:rPr>
          <w:b/>
        </w:rPr>
        <w:t>, 201</w:t>
      </w:r>
      <w:r w:rsidR="00136E50">
        <w:rPr>
          <w:b/>
        </w:rPr>
        <w:t>8</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136E50">
        <w:rPr>
          <w:b/>
        </w:rPr>
        <w:t>8</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136E50">
        <w:t>8</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w:t>
      </w:r>
      <w:proofErr w:type="spellStart"/>
      <w:r w:rsidRPr="00AA7A0C">
        <w:t>School</w:t>
      </w:r>
      <w:proofErr w:type="spellEnd"/>
      <w:r w:rsidRPr="00AA7A0C">
        <w:t xml:space="preserve">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136E50">
        <w:t>8</w:t>
      </w:r>
      <w:r w:rsidR="00B7605A">
        <w:t xml:space="preserve">.  </w:t>
      </w:r>
      <w:r w:rsidR="00535FC5">
        <w:t>On October 1, 201</w:t>
      </w:r>
      <w:r w:rsidR="00136E50">
        <w:t>8</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lastRenderedPageBreak/>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1E63"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8123CE">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8123CE">
                  <w:pPr>
                    <w:rPr>
                      <w:rStyle w:val="Emphasis"/>
                    </w:rPr>
                  </w:pPr>
                </w:p>
                <w:p w:rsidR="002531FC" w:rsidRPr="008123CE" w:rsidRDefault="002531FC" w:rsidP="008123CE">
                  <w:pPr>
                    <w:rPr>
                      <w:rStyle w:val="Emphasis"/>
                    </w:rPr>
                  </w:pPr>
                  <w:r w:rsidRPr="008123CE">
                    <w:rPr>
                      <w:rStyle w:val="Emphasis"/>
                    </w:rPr>
                    <w:t>______________________________</w:t>
                  </w:r>
                </w:p>
                <w:p w:rsidR="002531FC" w:rsidRPr="008123CE" w:rsidRDefault="008123CE" w:rsidP="008123CE">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8123CE">
                  <w:pPr>
                    <w:rPr>
                      <w:rStyle w:val="Emphasis"/>
                    </w:rPr>
                  </w:pPr>
                </w:p>
                <w:p w:rsidR="008123CE" w:rsidRDefault="008123CE" w:rsidP="008123CE">
                  <w:pPr>
                    <w:rPr>
                      <w:rStyle w:val="Emphasis"/>
                    </w:rPr>
                  </w:pPr>
                  <w:r>
                    <w:rPr>
                      <w:rStyle w:val="Emphasis"/>
                    </w:rPr>
                    <w:t>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8123CE">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lastRenderedPageBreak/>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w:t>
      </w:r>
      <w:proofErr w:type="spellStart"/>
      <w:r w:rsidRPr="00BE6C89">
        <w:rPr>
          <w:rFonts w:ascii="Arial" w:hAnsi="Arial" w:cs="Arial"/>
          <w:b w:val="0"/>
          <w:sz w:val="20"/>
        </w:rPr>
        <w:t>ren</w:t>
      </w:r>
      <w:proofErr w:type="spellEnd"/>
      <w:r w:rsidRPr="00BE6C89">
        <w:rPr>
          <w:rFonts w:ascii="Arial" w:hAnsi="Arial" w:cs="Arial"/>
          <w:b w:val="0"/>
          <w:sz w:val="20"/>
        </w:rPr>
        <w:t>)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FC5CBA"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6E" w:rsidRDefault="00F35F6E">
      <w:r>
        <w:separator/>
      </w:r>
    </w:p>
  </w:endnote>
  <w:endnote w:type="continuationSeparator" w:id="0">
    <w:p w:rsidR="00F35F6E" w:rsidRDefault="00F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January 2018</w:t>
    </w:r>
  </w:p>
  <w:p w:rsidR="00F35F6E" w:rsidRPr="00251773" w:rsidRDefault="00F35F6E" w:rsidP="00251773">
    <w:pPr>
      <w:pStyle w:val="Footer"/>
      <w:rPr>
        <w:rFonts w:ascii="Batang" w:eastAsia="Batang" w:hAnsi="Batang"/>
        <w:sz w:val="16"/>
        <w:szCs w:val="16"/>
      </w:rPr>
    </w:pPr>
  </w:p>
  <w:p w:rsidR="00F35F6E" w:rsidRPr="003601E9" w:rsidRDefault="00F35F6E"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6E" w:rsidRDefault="00F35F6E">
      <w:r>
        <w:separator/>
      </w:r>
    </w:p>
  </w:footnote>
  <w:footnote w:type="continuationSeparator" w:id="0">
    <w:p w:rsidR="00F35F6E" w:rsidRDefault="00F35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5F6E" w:rsidRDefault="00F35F6E"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6E" w:rsidRDefault="00F35F6E"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CBA">
      <w:rPr>
        <w:rStyle w:val="PageNumber"/>
        <w:noProof/>
      </w:rPr>
      <w:t>21</w:t>
    </w:r>
    <w:r>
      <w:rPr>
        <w:rStyle w:val="PageNumber"/>
      </w:rPr>
      <w:fldChar w:fldCharType="end"/>
    </w:r>
  </w:p>
  <w:p w:rsidR="00F35F6E" w:rsidRDefault="00F35F6E"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15:restartNumberingAfterBreak="0">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15:restartNumberingAfterBreak="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45F18"/>
    <w:rsid w:val="00050614"/>
    <w:rsid w:val="0005125C"/>
    <w:rsid w:val="0005680B"/>
    <w:rsid w:val="000756D2"/>
    <w:rsid w:val="00083FF9"/>
    <w:rsid w:val="00084DB9"/>
    <w:rsid w:val="000870C0"/>
    <w:rsid w:val="00093E01"/>
    <w:rsid w:val="00093F46"/>
    <w:rsid w:val="00094A2D"/>
    <w:rsid w:val="0009524D"/>
    <w:rsid w:val="000954D2"/>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36E50"/>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203E"/>
    <w:rsid w:val="00226EE6"/>
    <w:rsid w:val="00231591"/>
    <w:rsid w:val="002423E1"/>
    <w:rsid w:val="00251773"/>
    <w:rsid w:val="002531FC"/>
    <w:rsid w:val="00253474"/>
    <w:rsid w:val="00257C48"/>
    <w:rsid w:val="00282244"/>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66609"/>
    <w:rsid w:val="0037709C"/>
    <w:rsid w:val="003779A8"/>
    <w:rsid w:val="00384CA3"/>
    <w:rsid w:val="00394C5B"/>
    <w:rsid w:val="003A2058"/>
    <w:rsid w:val="003C1323"/>
    <w:rsid w:val="003C2A42"/>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2C1"/>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4CFD"/>
    <w:rsid w:val="0057646E"/>
    <w:rsid w:val="005846B1"/>
    <w:rsid w:val="005901A1"/>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86FD5"/>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09A"/>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4611"/>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514"/>
    <w:rsid w:val="00DC3B59"/>
    <w:rsid w:val="00DC524C"/>
    <w:rsid w:val="00DD6834"/>
    <w:rsid w:val="00DE0733"/>
    <w:rsid w:val="00DF1009"/>
    <w:rsid w:val="00DF56AB"/>
    <w:rsid w:val="00E0131C"/>
    <w:rsid w:val="00E024F1"/>
    <w:rsid w:val="00E04710"/>
    <w:rsid w:val="00E274FA"/>
    <w:rsid w:val="00E41C75"/>
    <w:rsid w:val="00E437DC"/>
    <w:rsid w:val="00E44EF8"/>
    <w:rsid w:val="00E465F6"/>
    <w:rsid w:val="00E57331"/>
    <w:rsid w:val="00E6272C"/>
    <w:rsid w:val="00E72CB2"/>
    <w:rsid w:val="00E7391B"/>
    <w:rsid w:val="00E75046"/>
    <w:rsid w:val="00E84175"/>
    <w:rsid w:val="00E84891"/>
    <w:rsid w:val="00E860DC"/>
    <w:rsid w:val="00E94CEA"/>
    <w:rsid w:val="00EA0450"/>
    <w:rsid w:val="00EB54B5"/>
    <w:rsid w:val="00EB637F"/>
    <w:rsid w:val="00EB644C"/>
    <w:rsid w:val="00EC2720"/>
    <w:rsid w:val="00EC4ED7"/>
    <w:rsid w:val="00ED5ED3"/>
    <w:rsid w:val="00EE0D56"/>
    <w:rsid w:val="00EE62CA"/>
    <w:rsid w:val="00EF00AB"/>
    <w:rsid w:val="00EF17D7"/>
    <w:rsid w:val="00F03C60"/>
    <w:rsid w:val="00F06EEF"/>
    <w:rsid w:val="00F07958"/>
    <w:rsid w:val="00F13709"/>
    <w:rsid w:val="00F13AEB"/>
    <w:rsid w:val="00F13B8C"/>
    <w:rsid w:val="00F31EC5"/>
    <w:rsid w:val="00F35F6E"/>
    <w:rsid w:val="00F36A89"/>
    <w:rsid w:val="00F40830"/>
    <w:rsid w:val="00F43011"/>
    <w:rsid w:val="00F65729"/>
    <w:rsid w:val="00F709B2"/>
    <w:rsid w:val="00F72AA8"/>
    <w:rsid w:val="00F76310"/>
    <w:rsid w:val="00FA0C27"/>
    <w:rsid w:val="00FB496F"/>
    <w:rsid w:val="00FC0774"/>
    <w:rsid w:val="00FC2E4B"/>
    <w:rsid w:val="00FC3B5E"/>
    <w:rsid w:val="00FC5CBA"/>
    <w:rsid w:val="00FD2D5C"/>
    <w:rsid w:val="00FD466B"/>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034C6B53-15B9-42F4-A395-FB42066EC21F}"/>
</file>

<file path=customXml/itemProps2.xml><?xml version="1.0" encoding="utf-8"?>
<ds:datastoreItem xmlns:ds="http://schemas.openxmlformats.org/officeDocument/2006/customXml" ds:itemID="{49E538C9-E2A3-426A-97DE-8CF6736ECD83}"/>
</file>

<file path=customXml/itemProps3.xml><?xml version="1.0" encoding="utf-8"?>
<ds:datastoreItem xmlns:ds="http://schemas.openxmlformats.org/officeDocument/2006/customXml" ds:itemID="{E0CB1F8B-987F-429D-80D3-80ADC1B98DB8}"/>
</file>

<file path=customXml/itemProps4.xml><?xml version="1.0" encoding="utf-8"?>
<ds:datastoreItem xmlns:ds="http://schemas.openxmlformats.org/officeDocument/2006/customXml" ds:itemID="{DB94278A-7051-4FD2-AF37-756C10A553DA}"/>
</file>

<file path=docProps/app.xml><?xml version="1.0" encoding="utf-8"?>
<Properties xmlns="http://schemas.openxmlformats.org/officeDocument/2006/extended-properties" xmlns:vt="http://schemas.openxmlformats.org/officeDocument/2006/docPropsVTypes">
  <Template>Normal</Template>
  <TotalTime>919</TotalTime>
  <Pages>21</Pages>
  <Words>4893</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Pierce, Jennifer (ASD-S)</cp:lastModifiedBy>
  <cp:revision>7</cp:revision>
  <cp:lastPrinted>2018-01-19T16:36:00Z</cp:lastPrinted>
  <dcterms:created xsi:type="dcterms:W3CDTF">2017-11-08T20:24:00Z</dcterms:created>
  <dcterms:modified xsi:type="dcterms:W3CDTF">2018-01-19T16:36:00Z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