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6F766C" w:rsidRDefault="006F766C" w:rsidP="006F766C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6F766C">
        <w:rPr>
          <w:rFonts w:ascii="Century Gothic" w:hAnsi="Century Gothic"/>
          <w:sz w:val="28"/>
          <w:szCs w:val="28"/>
          <w:u w:val="single"/>
        </w:rPr>
        <w:t>Chapter 5 Definitions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Buoyancy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Buoyant force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Density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Mass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Volume</w:t>
      </w:r>
      <w:bookmarkStart w:id="0" w:name="_GoBack"/>
      <w:bookmarkEnd w:id="0"/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Capacity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Weight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Force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Gravity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Mass to volume ratio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Floating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Average density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Displace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Neutral buoyancy</w:t>
      </w:r>
    </w:p>
    <w:p w:rsidR="006F766C" w:rsidRPr="006F766C" w:rsidRDefault="006F766C" w:rsidP="006F76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Archimedes’ principle</w:t>
      </w:r>
    </w:p>
    <w:p w:rsidR="006F766C" w:rsidRPr="006F766C" w:rsidRDefault="006F766C" w:rsidP="00FF225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F766C">
        <w:rPr>
          <w:rFonts w:ascii="Century Gothic" w:hAnsi="Century Gothic"/>
          <w:sz w:val="28"/>
          <w:szCs w:val="28"/>
        </w:rPr>
        <w:t>hydrometer</w:t>
      </w:r>
    </w:p>
    <w:sectPr w:rsidR="006F766C" w:rsidRPr="006F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6B5C"/>
    <w:multiLevelType w:val="hybridMultilevel"/>
    <w:tmpl w:val="FD78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6C"/>
    <w:rsid w:val="001F0E0E"/>
    <w:rsid w:val="004D741C"/>
    <w:rsid w:val="006F766C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A1F8-8C88-4D56-92E4-518AEAA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5B06E9-6961-406D-B9B8-198C78EE3D50}"/>
</file>

<file path=customXml/itemProps2.xml><?xml version="1.0" encoding="utf-8"?>
<ds:datastoreItem xmlns:ds="http://schemas.openxmlformats.org/officeDocument/2006/customXml" ds:itemID="{6C55739D-5DAE-40FF-A4AC-B9D45287816C}"/>
</file>

<file path=customXml/itemProps3.xml><?xml version="1.0" encoding="utf-8"?>
<ds:datastoreItem xmlns:ds="http://schemas.openxmlformats.org/officeDocument/2006/customXml" ds:itemID="{368F3798-B24E-4277-8D6D-AC8C0934E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2017-04-18T11:51:00Z</dcterms:created>
  <dcterms:modified xsi:type="dcterms:W3CDTF">2017-04-18T11:54:00Z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