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82E" w14:paraId="3CC1F68A" w14:textId="77777777" w:rsidTr="0000182E">
        <w:tc>
          <w:tcPr>
            <w:tcW w:w="9350" w:type="dxa"/>
          </w:tcPr>
          <w:p w14:paraId="6528DA71" w14:textId="2AE0EF34" w:rsidR="0000182E" w:rsidRPr="0000182E" w:rsidRDefault="0000182E" w:rsidP="0000182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F46F7D" wp14:editId="7B4861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B07C7D" wp14:editId="4BDFFE6D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</w:t>
            </w:r>
            <w:proofErr w:type="spellEnd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Elementary School</w:t>
            </w:r>
          </w:p>
          <w:p w14:paraId="1F64CF98" w14:textId="04669759" w:rsidR="0000182E" w:rsidRPr="0000182E" w:rsidRDefault="0000182E">
            <w:pPr>
              <w:rPr>
                <w:b/>
                <w:bCs/>
                <w:sz w:val="24"/>
                <w:szCs w:val="24"/>
              </w:rPr>
            </w:pPr>
          </w:p>
          <w:p w14:paraId="6ABA8D92" w14:textId="77777777" w:rsidR="0000182E" w:rsidRPr="0000182E" w:rsidRDefault="0000182E" w:rsidP="0000182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0C9EA238" w14:textId="2F297D38" w:rsidR="0000182E" w:rsidRDefault="0000182E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00182E" w14:paraId="69C76866" w14:textId="77777777" w:rsidTr="0000182E">
        <w:tc>
          <w:tcPr>
            <w:tcW w:w="9345" w:type="dxa"/>
            <w:shd w:val="clear" w:color="auto" w:fill="FFFF00"/>
          </w:tcPr>
          <w:p w14:paraId="60A30A1A" w14:textId="6E82415D" w:rsidR="0000182E" w:rsidRPr="00A90A4E" w:rsidRDefault="0000182E" w:rsidP="00523550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00182E" w14:paraId="4F8F0659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B1FCF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ED49" w14:textId="356B2EA3" w:rsidR="0000182E" w:rsidRDefault="00476D77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 Hewson</w:t>
            </w:r>
          </w:p>
        </w:tc>
      </w:tr>
      <w:tr w:rsidR="0000182E" w14:paraId="1B2EAEDF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375D9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8D7E35" w14:textId="50EDE0A0" w:rsidR="00476D77" w:rsidRDefault="00476D77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Mrs. Hewson </w:t>
            </w:r>
            <w:hyperlink r:id="rId10" w:history="1">
              <w:r w:rsidRPr="002F7888">
                <w:rPr>
                  <w:rStyle w:val="Hyperlink"/>
                  <w:rFonts w:ascii="Century Gothic" w:hAnsi="Century Gothic" w:cs="Arial"/>
                  <w:b/>
                </w:rPr>
                <w:t>Marjorie.Hewson@nbed.nb.ca</w:t>
              </w:r>
            </w:hyperlink>
          </w:p>
          <w:p w14:paraId="62FCE6CA" w14:textId="765D0012" w:rsidR="0000182E" w:rsidRDefault="00476D77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Mrs. Nugent </w:t>
            </w:r>
            <w:hyperlink r:id="rId11" w:history="1">
              <w:r w:rsidRPr="002F7888">
                <w:rPr>
                  <w:rStyle w:val="Hyperlink"/>
                  <w:rFonts w:ascii="Century Gothic" w:hAnsi="Century Gothic" w:cs="Arial"/>
                  <w:b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:rsidRPr="00352AC3" w14:paraId="3D55AE75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7728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77F1BD3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50A2D" w14:textId="77777777" w:rsidR="0000182E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proofErr w:type="gramStart"/>
            <w:r w:rsidRPr="00E85524">
              <w:rPr>
                <w:rFonts w:ascii="Century Gothic" w:hAnsi="Century Gothic" w:cs="Arial"/>
                <w:b/>
                <w:lang w:val="fr-FR"/>
              </w:rPr>
              <w:t>Principal:</w:t>
            </w:r>
            <w:proofErr w:type="gramEnd"/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 </w:t>
            </w:r>
            <w:hyperlink r:id="rId12" w:history="1">
              <w:r w:rsidRPr="00E85524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sarah.mahar@nbed</w:t>
              </w:r>
            </w:hyperlink>
            <w:r w:rsidRPr="00E85524">
              <w:rPr>
                <w:rStyle w:val="Hyperlink"/>
                <w:rFonts w:ascii="Century Gothic" w:hAnsi="Century Gothic" w:cs="Arial"/>
                <w:b/>
                <w:lang w:val="fr-FR"/>
              </w:rPr>
              <w:t>.</w:t>
            </w:r>
            <w:r>
              <w:rPr>
                <w:rStyle w:val="Hyperlink"/>
                <w:rFonts w:ascii="Century Gothic" w:hAnsi="Century Gothic" w:cs="Arial"/>
                <w:b/>
                <w:lang w:val="fr-FR"/>
              </w:rPr>
              <w:t>nb.ca</w:t>
            </w: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; </w:t>
            </w:r>
          </w:p>
          <w:p w14:paraId="46942B80" w14:textId="77777777" w:rsidR="0000182E" w:rsidRPr="00E85524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>Vice-</w:t>
            </w:r>
            <w:proofErr w:type="gramStart"/>
            <w:r w:rsidRPr="00E85524">
              <w:rPr>
                <w:rFonts w:ascii="Century Gothic" w:hAnsi="Century Gothic" w:cs="Arial"/>
                <w:b/>
                <w:lang w:val="fr-FR"/>
              </w:rPr>
              <w:t>Principal:</w:t>
            </w:r>
            <w:proofErr w:type="gramEnd"/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 </w:t>
            </w:r>
            <w:hyperlink r:id="rId13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</w:tr>
      <w:tr w:rsidR="0000182E" w14:paraId="2D9C3B90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99FE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Cindy Crowhurst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A76CC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4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320D5E6B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5D9C7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098A9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5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5BDA9352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EC3D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B0F0" w14:textId="77777777" w:rsidR="0000182E" w:rsidRPr="005536F4" w:rsidRDefault="00352AC3" w:rsidP="00523550">
            <w:pPr>
              <w:rPr>
                <w:rFonts w:ascii="Century Gothic" w:hAnsi="Century Gothic" w:cs="Arial"/>
                <w:b/>
              </w:rPr>
            </w:pPr>
            <w:hyperlink r:id="rId16" w:history="1">
              <w:r w:rsidR="0000182E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tbl>
      <w:tblPr>
        <w:tblW w:w="9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15"/>
      </w:tblGrid>
      <w:tr w:rsidR="0000182E" w:rsidRPr="00017DA9" w14:paraId="1CBA1CED" w14:textId="77777777" w:rsidTr="0000182E"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E5D21" w14:textId="25E5F49A" w:rsidR="0000182E" w:rsidRDefault="0000182E" w:rsidP="007D5EA5">
            <w:pPr>
              <w:pStyle w:val="NoSpacing"/>
            </w:pPr>
            <w:r w:rsidRPr="00BF1554">
              <w:t>In accordance with the communication sent from our Mini</w:t>
            </w:r>
            <w:r w:rsidR="00014E79">
              <w:t xml:space="preserve">ster of Education, Dominic </w:t>
            </w:r>
            <w:proofErr w:type="spellStart"/>
            <w:r w:rsidR="00014E79">
              <w:t>Cardy</w:t>
            </w:r>
            <w:proofErr w:type="spellEnd"/>
            <w:r>
              <w:t xml:space="preserve">, </w:t>
            </w:r>
            <w:r w:rsidRPr="00BF1554">
              <w:t>on April 2, 2020</w:t>
            </w:r>
            <w:r w:rsidR="00F82DF2">
              <w:t xml:space="preserve">. </w:t>
            </w:r>
            <w:r>
              <w:t>H</w:t>
            </w:r>
            <w:r w:rsidRPr="00BF1554">
              <w:t>ome learning opportunities to support literacy and numeracy outcomes</w:t>
            </w:r>
            <w:r>
              <w:t xml:space="preserve"> will be made available online weekly by Teachers.</w:t>
            </w:r>
          </w:p>
          <w:p w14:paraId="01E574A4" w14:textId="77777777" w:rsidR="00BD1664" w:rsidRPr="00BF1554" w:rsidRDefault="00BD1664" w:rsidP="007D5EA5">
            <w:pPr>
              <w:pStyle w:val="NoSpacing"/>
            </w:pPr>
          </w:p>
          <w:p w14:paraId="70FEC972" w14:textId="02B77D68" w:rsidR="0000182E" w:rsidRPr="00BF1554" w:rsidRDefault="0000182E" w:rsidP="007D5EA5">
            <w:pPr>
              <w:pStyle w:val="NoSpacing"/>
            </w:pPr>
            <w:r w:rsidRPr="00BF1554">
              <w:t xml:space="preserve">Families </w:t>
            </w:r>
            <w:r w:rsidR="00014E79">
              <w:t xml:space="preserve">are </w:t>
            </w:r>
            <w:r w:rsidRPr="00BF1554">
              <w:t>encouraged to:</w:t>
            </w:r>
          </w:p>
          <w:p w14:paraId="798303E9" w14:textId="40DFDAF9" w:rsidR="0000182E" w:rsidRPr="00BF1554" w:rsidRDefault="0000182E" w:rsidP="007D5EA5">
            <w:pPr>
              <w:pStyle w:val="NoSpacing"/>
            </w:pPr>
            <w:r w:rsidRPr="00BF1554">
              <w:t xml:space="preserve">  -Support their children to complete the options below for an average of </w:t>
            </w:r>
            <w:r w:rsidRPr="00A3378F">
              <w:rPr>
                <w:u w:val="single"/>
              </w:rPr>
              <w:t>one hour per day</w:t>
            </w:r>
            <w:r w:rsidRPr="00BF1554">
              <w:t xml:space="preserve">. </w:t>
            </w:r>
            <w:r w:rsidR="00A3378F">
              <w:t xml:space="preserve">At this level, it is recommended that students are working on learning activities in the areas of Literacy </w:t>
            </w:r>
            <w:r w:rsidR="00B1615C">
              <w:t xml:space="preserve">Mathematics and Science. </w:t>
            </w:r>
          </w:p>
          <w:p w14:paraId="3239F842" w14:textId="77777777" w:rsidR="0000182E" w:rsidRPr="00BF1554" w:rsidRDefault="0000182E" w:rsidP="007D5EA5">
            <w:pPr>
              <w:pStyle w:val="NoSpacing"/>
            </w:pPr>
            <w:r w:rsidRPr="00BF1554">
              <w:t>-Read aloud with their children daily; and</w:t>
            </w:r>
          </w:p>
          <w:p w14:paraId="68907384" w14:textId="77777777" w:rsidR="0000182E" w:rsidRDefault="0000182E" w:rsidP="007D5EA5">
            <w:pPr>
              <w:pStyle w:val="NoSpacing"/>
            </w:pPr>
            <w:r w:rsidRPr="00BF1554">
              <w:t>-consider daily physical activity and free play as an important part of their child’s mental health and skill development.</w:t>
            </w:r>
          </w:p>
          <w:p w14:paraId="1372231F" w14:textId="70C249A7" w:rsidR="007D5EA5" w:rsidRPr="0000182E" w:rsidRDefault="007D5EA5" w:rsidP="007D5EA5">
            <w:pPr>
              <w:pStyle w:val="NoSpacing"/>
            </w:pPr>
          </w:p>
        </w:tc>
      </w:tr>
      <w:tr w:rsidR="0000182E" w:rsidRPr="00017DA9" w14:paraId="0EEF5DFA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8092" w14:textId="77777777" w:rsidR="0000182E" w:rsidRPr="00017DA9" w:rsidRDefault="0000182E" w:rsidP="00523550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4443F2" w14:textId="09DB3358" w:rsidR="0000182E" w:rsidRPr="00017DA9" w:rsidRDefault="0000182E" w:rsidP="00C07956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</w:tc>
      </w:tr>
      <w:tr w:rsidR="0000182E" w:rsidRPr="00017DA9" w14:paraId="6D87541F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E9083B" w14:textId="77777777" w:rsidR="00F65D77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Literacy</w:t>
            </w:r>
            <w:r w:rsidR="006F1FF9">
              <w:rPr>
                <w:rFonts w:ascii="Century Gothic" w:hAnsi="Century Gothic" w:cs="Arial"/>
                <w:b/>
              </w:rPr>
              <w:t xml:space="preserve"> with </w:t>
            </w:r>
          </w:p>
          <w:p w14:paraId="0FF5091A" w14:textId="73A97B38" w:rsidR="0000182E" w:rsidRPr="009D08EB" w:rsidRDefault="006F1FF9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Mrs. Hewson 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F31C" w14:textId="2F4A752E" w:rsidR="000755D7" w:rsidRPr="000755D7" w:rsidRDefault="000E7145" w:rsidP="00523550">
            <w:pPr>
              <w:rPr>
                <w:rFonts w:cstheme="minorHAnsi"/>
                <w:bCs/>
              </w:rPr>
            </w:pPr>
            <w:r w:rsidRPr="000755D7">
              <w:rPr>
                <w:rFonts w:cstheme="minorHAnsi"/>
                <w:bCs/>
              </w:rPr>
              <w:t xml:space="preserve">(Approximately 30 minutes per day) </w:t>
            </w:r>
          </w:p>
          <w:p w14:paraId="6777F654" w14:textId="77777777" w:rsidR="00352AC3" w:rsidRPr="00211B82" w:rsidRDefault="00352AC3" w:rsidP="00352AC3">
            <w:pPr>
              <w:rPr>
                <w:rFonts w:cs="Arial"/>
              </w:rPr>
            </w:pPr>
            <w:r w:rsidRPr="00211B82">
              <w:rPr>
                <w:rFonts w:cs="Arial"/>
              </w:rPr>
              <w:t>Students will be writing daily; at times on short pieces based on a writing promp</w:t>
            </w:r>
            <w:r>
              <w:rPr>
                <w:rFonts w:cs="Arial"/>
              </w:rPr>
              <w:t>t</w:t>
            </w:r>
            <w:r w:rsidRPr="00211B82">
              <w:rPr>
                <w:rFonts w:cs="Arial"/>
              </w:rPr>
              <w:t xml:space="preserve">, and at times on their own creative pieces.  </w:t>
            </w:r>
          </w:p>
          <w:p w14:paraId="0031E536" w14:textId="77777777" w:rsidR="00352AC3" w:rsidRPr="00211B82" w:rsidRDefault="00352AC3" w:rsidP="00352AC3">
            <w:pPr>
              <w:rPr>
                <w:rFonts w:cs="Arial"/>
              </w:rPr>
            </w:pPr>
            <w:r w:rsidRPr="00211B82">
              <w:rPr>
                <w:rFonts w:cs="Arial"/>
              </w:rPr>
              <w:t xml:space="preserve">Students will practice short word work activities </w:t>
            </w:r>
            <w:r>
              <w:rPr>
                <w:rFonts w:cs="Arial"/>
              </w:rPr>
              <w:t xml:space="preserve">throughout the week </w:t>
            </w:r>
            <w:r w:rsidRPr="00211B82">
              <w:rPr>
                <w:rFonts w:cs="Arial"/>
              </w:rPr>
              <w:t>to master spelling for their no-excuse words for their grade level.</w:t>
            </w:r>
          </w:p>
          <w:p w14:paraId="1533034A" w14:textId="77777777" w:rsidR="00352AC3" w:rsidRDefault="00352AC3" w:rsidP="00352AC3">
            <w:pPr>
              <w:rPr>
                <w:rFonts w:cs="Arial"/>
              </w:rPr>
            </w:pPr>
            <w:r w:rsidRPr="00211B82">
              <w:rPr>
                <w:rFonts w:cs="Arial"/>
              </w:rPr>
              <w:t>Students will be reading books from home for the 30 minutes daily as listed above.  Occasionally they will have a</w:t>
            </w:r>
            <w:r>
              <w:rPr>
                <w:rFonts w:cs="Arial"/>
              </w:rPr>
              <w:t xml:space="preserve"> teacher assigned</w:t>
            </w:r>
            <w:r w:rsidRPr="00211B82">
              <w:rPr>
                <w:rFonts w:cs="Arial"/>
              </w:rPr>
              <w:t xml:space="preserve"> short reading to respond to as part of Language Arts. </w:t>
            </w:r>
            <w:r>
              <w:rPr>
                <w:rFonts w:cs="Arial"/>
              </w:rPr>
              <w:t xml:space="preserve"> We will work on comprehension strategies through these readings and responses. </w:t>
            </w:r>
          </w:p>
          <w:p w14:paraId="6111E9FA" w14:textId="77777777" w:rsidR="00352AC3" w:rsidRDefault="00352AC3" w:rsidP="00352AC3">
            <w:pPr>
              <w:rPr>
                <w:rFonts w:cs="Arial"/>
              </w:rPr>
            </w:pPr>
            <w:r>
              <w:rPr>
                <w:rFonts w:cs="Arial"/>
              </w:rPr>
              <w:t xml:space="preserve">You can call or email anytime!  Any questions are </w:t>
            </w:r>
            <w:proofErr w:type="gramStart"/>
            <w:r>
              <w:rPr>
                <w:rFonts w:cs="Arial"/>
              </w:rPr>
              <w:t>welco</w:t>
            </w:r>
            <w:bookmarkStart w:id="0" w:name="_GoBack"/>
            <w:bookmarkEnd w:id="0"/>
            <w:r>
              <w:rPr>
                <w:rFonts w:cs="Arial"/>
              </w:rPr>
              <w:t>me</w:t>
            </w:r>
            <w:proofErr w:type="gramEnd"/>
            <w:r>
              <w:rPr>
                <w:rFonts w:cs="Arial"/>
              </w:rPr>
              <w:t xml:space="preserve"> and I love knowing what you’re working on.</w:t>
            </w:r>
          </w:p>
          <w:p w14:paraId="5B6C8717" w14:textId="0749F798" w:rsidR="00014E79" w:rsidRPr="009D08EB" w:rsidRDefault="00352AC3" w:rsidP="00352AC3">
            <w:pPr>
              <w:rPr>
                <w:rFonts w:ascii="Century Gothic" w:hAnsi="Century Gothic" w:cs="Arial"/>
                <w:b/>
              </w:rPr>
            </w:pPr>
            <w:r>
              <w:rPr>
                <w:rFonts w:cs="Arial"/>
              </w:rPr>
              <w:tab/>
              <w:t xml:space="preserve">                      Mrs. </w:t>
            </w:r>
            <w:proofErr w:type="gramStart"/>
            <w:r>
              <w:rPr>
                <w:rFonts w:cs="Arial"/>
              </w:rPr>
              <w:t xml:space="preserve">Hewson  </w:t>
            </w:r>
            <w:r>
              <w:rPr>
                <w:rFonts w:ascii="Arial" w:hAnsi="Arial" w:cs="Arial"/>
                <w:lang w:eastAsia="ja-JP"/>
              </w:rPr>
              <w:t>♫</w:t>
            </w:r>
            <w:proofErr w:type="gramEnd"/>
            <w:r w:rsidR="00936BEF">
              <w:t xml:space="preserve"> </w:t>
            </w:r>
          </w:p>
        </w:tc>
      </w:tr>
      <w:tr w:rsidR="0000182E" w:rsidRPr="00017DA9" w14:paraId="3D5EF25D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8D582" w14:textId="45E42B48" w:rsidR="0000182E" w:rsidRDefault="005C2C74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Mathematics</w:t>
            </w:r>
          </w:p>
          <w:p w14:paraId="7BB31023" w14:textId="5CEEA3F3" w:rsidR="006F1FF9" w:rsidRDefault="006F1FF9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With Mrs. Nugent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199C" w14:textId="683954A6" w:rsidR="0000182E" w:rsidRDefault="000E7145" w:rsidP="00523550">
            <w:r>
              <w:t xml:space="preserve">(Approximately 30 minutes per day) </w:t>
            </w:r>
          </w:p>
          <w:p w14:paraId="7A715F8F" w14:textId="1F6424C3" w:rsidR="009F0A72" w:rsidRDefault="00620220" w:rsidP="00523550">
            <w:r>
              <w:t xml:space="preserve">Daily numeracy tasks will include using items in your home or outside to </w:t>
            </w:r>
            <w:r w:rsidR="00DA6A60">
              <w:t>solve mathematical problems</w:t>
            </w:r>
            <w:r w:rsidR="00B3567F">
              <w:t xml:space="preserve"> and help</w:t>
            </w:r>
            <w:r w:rsidR="00DA6A60">
              <w:t xml:space="preserve"> build mental</w:t>
            </w:r>
            <w:r w:rsidR="00D35C0D">
              <w:t>-</w:t>
            </w:r>
            <w:r w:rsidR="00DA6A60">
              <w:t xml:space="preserve">math strategies. </w:t>
            </w:r>
          </w:p>
          <w:p w14:paraId="249DFD6F" w14:textId="38E81D84" w:rsidR="00BA69D3" w:rsidRDefault="00BA69D3" w:rsidP="00BA69D3">
            <w:r>
              <w:t xml:space="preserve">I will include examples of Math strategies and games that help to strengthen these skills. </w:t>
            </w:r>
          </w:p>
          <w:p w14:paraId="022E8BD6" w14:textId="185DF511" w:rsidR="009F16F2" w:rsidRDefault="00932F38" w:rsidP="009F16F2">
            <w:r w:rsidRPr="00437C7E">
              <w:rPr>
                <w:b/>
                <w:bCs/>
                <w:u w:val="single"/>
              </w:rPr>
              <w:t>This week</w:t>
            </w:r>
            <w:r w:rsidR="00E058F4">
              <w:rPr>
                <w:u w:val="single"/>
              </w:rPr>
              <w:t>:</w:t>
            </w:r>
            <w:r w:rsidR="009F16F2">
              <w:t xml:space="preserve"> </w:t>
            </w:r>
            <w:r w:rsidR="00E058F4">
              <w:t>H</w:t>
            </w:r>
            <w:r w:rsidR="009F16F2">
              <w:t>ave a conversation about quantity with your child before counting items. Practice making simple predictions</w:t>
            </w:r>
            <w:r w:rsidR="0078120E">
              <w:t xml:space="preserve"> to </w:t>
            </w:r>
            <w:r w:rsidR="0078120E" w:rsidRPr="008C2EC1">
              <w:rPr>
                <w:b/>
                <w:bCs/>
              </w:rPr>
              <w:t>estimate</w:t>
            </w:r>
            <w:r w:rsidR="0078120E">
              <w:t xml:space="preserve"> an amount (</w:t>
            </w:r>
            <w:proofErr w:type="spellStart"/>
            <w:r w:rsidR="00E37557">
              <w:t>ie</w:t>
            </w:r>
            <w:proofErr w:type="spellEnd"/>
            <w:r w:rsidR="00E37557">
              <w:t xml:space="preserve">. </w:t>
            </w:r>
            <w:r w:rsidR="000741FF">
              <w:t xml:space="preserve">trees in the backyard, </w:t>
            </w:r>
            <w:r w:rsidR="00336ADD">
              <w:t xml:space="preserve">floor tiles in a room, </w:t>
            </w:r>
            <w:r w:rsidR="00E37557">
              <w:t>pieces of pasta in a bag)</w:t>
            </w:r>
            <w:r w:rsidR="008C2EC1">
              <w:t>.</w:t>
            </w:r>
          </w:p>
          <w:p w14:paraId="1E23EE91" w14:textId="590629F3" w:rsidR="004215B8" w:rsidRDefault="004215B8" w:rsidP="009F16F2">
            <w:r>
              <w:t xml:space="preserve">Work on concepts of </w:t>
            </w:r>
            <w:r w:rsidRPr="008A2F00">
              <w:rPr>
                <w:b/>
                <w:bCs/>
              </w:rPr>
              <w:t>sequencing</w:t>
            </w:r>
            <w:r>
              <w:t xml:space="preserve"> by having your child create/draw a maze</w:t>
            </w:r>
            <w:r w:rsidR="008A2F00">
              <w:t xml:space="preserve"> – this will serve to get them thinking of the steps needed to solve a problem. </w:t>
            </w:r>
          </w:p>
          <w:p w14:paraId="5C8423F2" w14:textId="5B57C4EC" w:rsidR="008A2F00" w:rsidRDefault="008A2F00" w:rsidP="009F16F2">
            <w:r w:rsidRPr="00201A51">
              <w:rPr>
                <w:b/>
                <w:bCs/>
              </w:rPr>
              <w:lastRenderedPageBreak/>
              <w:t>Game</w:t>
            </w:r>
            <w:r>
              <w:t xml:space="preserve">: </w:t>
            </w:r>
            <w:r w:rsidR="009B0CD8">
              <w:t xml:space="preserve">With a deck of cards play </w:t>
            </w:r>
            <w:r w:rsidR="00437C7E" w:rsidRPr="00437C7E">
              <w:rPr>
                <w:b/>
                <w:bCs/>
                <w:i/>
                <w:iCs/>
              </w:rPr>
              <w:t>M</w:t>
            </w:r>
            <w:r w:rsidR="009B0CD8" w:rsidRPr="00437C7E">
              <w:rPr>
                <w:b/>
                <w:bCs/>
                <w:i/>
                <w:iCs/>
              </w:rPr>
              <w:t xml:space="preserve">ultiplication </w:t>
            </w:r>
            <w:r w:rsidR="00437C7E" w:rsidRPr="00437C7E">
              <w:rPr>
                <w:b/>
                <w:bCs/>
                <w:i/>
                <w:iCs/>
              </w:rPr>
              <w:t>W</w:t>
            </w:r>
            <w:r w:rsidR="009143A4" w:rsidRPr="00437C7E">
              <w:rPr>
                <w:b/>
                <w:bCs/>
                <w:i/>
                <w:iCs/>
              </w:rPr>
              <w:t>ar</w:t>
            </w:r>
            <w:r w:rsidR="009143A4">
              <w:t xml:space="preserve"> – split the deck in half and each player flips a card at the same time, the first player to correctly solve the </w:t>
            </w:r>
            <w:r w:rsidR="002D276D">
              <w:t>product of the two cards multiplied together</w:t>
            </w:r>
            <w:r w:rsidR="00A8245F">
              <w:t xml:space="preserve"> adds those cards to their deck. The first player to have all the cards, wins! </w:t>
            </w:r>
            <w:r w:rsidR="00E25381">
              <w:t xml:space="preserve">(All face cards worth 10) </w:t>
            </w:r>
          </w:p>
          <w:p w14:paraId="512A8BCB" w14:textId="77777777" w:rsidR="00662A67" w:rsidRDefault="00662A67" w:rsidP="009F16F2"/>
          <w:p w14:paraId="28A0B355" w14:textId="6841C076" w:rsidR="00F65D77" w:rsidRDefault="00F65D77" w:rsidP="00523550">
            <w:r>
              <w:t xml:space="preserve">I will also provide links and sign-in information to any families who would like </w:t>
            </w:r>
            <w:r w:rsidR="006D0912">
              <w:t xml:space="preserve">some direction </w:t>
            </w:r>
            <w:r w:rsidR="00583061">
              <w:t xml:space="preserve">on </w:t>
            </w:r>
            <w:r w:rsidR="00E4226F">
              <w:t>resources for</w:t>
            </w:r>
            <w:r>
              <w:t xml:space="preserve"> extra online practice</w:t>
            </w:r>
            <w:r w:rsidR="00E4226F">
              <w:t xml:space="preserve"> that connect to grade 5 Math outcomes.</w:t>
            </w:r>
          </w:p>
          <w:p w14:paraId="3D816747" w14:textId="77777777" w:rsidR="00662A67" w:rsidRDefault="00662A67" w:rsidP="00523550"/>
          <w:p w14:paraId="5F3FC8C8" w14:textId="70B017AE" w:rsidR="0000182E" w:rsidRDefault="00523992" w:rsidP="00523992">
            <w:r>
              <w:t xml:space="preserve">We always have a lot of fun in Math and I hope that will continue. Please know that I am never more than an email or a phone call away, and I’m cheering you on from afar! </w:t>
            </w:r>
            <w:r w:rsidR="00E16587">
              <w:t>I will make a p</w:t>
            </w:r>
            <w:r w:rsidR="00682873">
              <w:t xml:space="preserve">oint to personally contact your child by email or phone each week. </w:t>
            </w:r>
          </w:p>
          <w:p w14:paraId="676C35F5" w14:textId="5227C1AD" w:rsidR="006F4D13" w:rsidRPr="006F4D13" w:rsidRDefault="006F4D13" w:rsidP="006F4D1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Freestyle Script" w:hAnsi="Freestyle Script" w:cs="Arial"/>
                <w:b/>
              </w:rPr>
            </w:pPr>
            <w:r w:rsidRPr="006F4D13">
              <w:rPr>
                <w:rFonts w:ascii="Freestyle Script" w:hAnsi="Freestyle Script" w:cs="Arial"/>
                <w:b/>
                <w:sz w:val="32"/>
                <w:szCs w:val="32"/>
              </w:rPr>
              <w:t xml:space="preserve">Mrs. Nugent </w:t>
            </w:r>
            <w:r w:rsidRPr="006F4D13">
              <w:rPr>
                <mc:AlternateContent>
                  <mc:Choice Requires="w16se">
                    <w:rFonts w:ascii="Freestyle Script" w:hAnsi="Freestyle Script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0182E" w:rsidRPr="00017DA9" w14:paraId="18438ED8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7E84A502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Other areas of interest/learning experiences</w:t>
            </w:r>
          </w:p>
        </w:tc>
        <w:tc>
          <w:tcPr>
            <w:tcW w:w="7215" w:type="dxa"/>
            <w:tcBorders>
              <w:top w:val="single" w:sz="12" w:space="0" w:color="auto"/>
              <w:right w:val="single" w:sz="12" w:space="0" w:color="auto"/>
            </w:tcBorders>
          </w:tcPr>
          <w:p w14:paraId="1AEF3D64" w14:textId="30FBEC0F" w:rsidR="000965A2" w:rsidRDefault="008C5016" w:rsidP="00523550">
            <w:pPr>
              <w:rPr>
                <w:b/>
              </w:rPr>
            </w:pPr>
            <w:r>
              <w:rPr>
                <w:b/>
              </w:rPr>
              <w:t>Science –</w:t>
            </w:r>
            <w:r w:rsidR="008D31C6">
              <w:rPr>
                <w:b/>
              </w:rPr>
              <w:t xml:space="preserve"> </w:t>
            </w:r>
            <w:r w:rsidR="00A361E3">
              <w:rPr>
                <w:b/>
              </w:rPr>
              <w:t>in the upcoming weeks</w:t>
            </w:r>
            <w:r>
              <w:rPr>
                <w:b/>
              </w:rPr>
              <w:t xml:space="preserve"> we will </w:t>
            </w:r>
            <w:r w:rsidR="008D31C6">
              <w:rPr>
                <w:b/>
              </w:rPr>
              <w:t xml:space="preserve">provide </w:t>
            </w:r>
            <w:r>
              <w:rPr>
                <w:b/>
              </w:rPr>
              <w:t>plan</w:t>
            </w:r>
            <w:r w:rsidR="00B45906">
              <w:rPr>
                <w:b/>
              </w:rPr>
              <w:t xml:space="preserve"> for a</w:t>
            </w:r>
            <w:r>
              <w:rPr>
                <w:b/>
              </w:rPr>
              <w:t xml:space="preserve"> </w:t>
            </w:r>
            <w:r w:rsidR="00F56C11">
              <w:rPr>
                <w:b/>
              </w:rPr>
              <w:t>day of Wonder</w:t>
            </w:r>
            <w:r w:rsidR="00B45906">
              <w:rPr>
                <w:b/>
              </w:rPr>
              <w:t>,</w:t>
            </w:r>
            <w:r w:rsidR="00F56C11">
              <w:rPr>
                <w:b/>
              </w:rPr>
              <w:t xml:space="preserve"> where students can </w:t>
            </w:r>
            <w:r w:rsidR="001E093C">
              <w:rPr>
                <w:b/>
              </w:rPr>
              <w:t xml:space="preserve">explore the natural world through </w:t>
            </w:r>
            <w:r w:rsidR="008A3864">
              <w:rPr>
                <w:b/>
              </w:rPr>
              <w:t xml:space="preserve">various </w:t>
            </w:r>
            <w:r w:rsidR="001E093C">
              <w:rPr>
                <w:b/>
              </w:rPr>
              <w:t xml:space="preserve">activities in </w:t>
            </w:r>
            <w:r w:rsidR="001E093C" w:rsidRPr="006F4D13">
              <w:rPr>
                <w:b/>
                <w:u w:val="single"/>
              </w:rPr>
              <w:t>S</w:t>
            </w:r>
            <w:r w:rsidR="001E093C">
              <w:rPr>
                <w:b/>
              </w:rPr>
              <w:t xml:space="preserve">cience </w:t>
            </w:r>
            <w:r w:rsidR="001E093C" w:rsidRPr="006F4D13">
              <w:rPr>
                <w:b/>
                <w:u w:val="single"/>
              </w:rPr>
              <w:t>T</w:t>
            </w:r>
            <w:r w:rsidR="001E093C">
              <w:rPr>
                <w:b/>
              </w:rPr>
              <w:t xml:space="preserve">echnology </w:t>
            </w:r>
            <w:r w:rsidR="001E093C" w:rsidRPr="006F4D13">
              <w:rPr>
                <w:b/>
                <w:u w:val="single"/>
              </w:rPr>
              <w:t>E</w:t>
            </w:r>
            <w:r w:rsidR="001E093C">
              <w:rPr>
                <w:b/>
              </w:rPr>
              <w:t xml:space="preserve">ngineering </w:t>
            </w:r>
            <w:r w:rsidR="001E093C" w:rsidRPr="006F4D13">
              <w:rPr>
                <w:b/>
                <w:u w:val="single"/>
              </w:rPr>
              <w:t>A</w:t>
            </w:r>
            <w:r w:rsidR="001E093C">
              <w:rPr>
                <w:b/>
              </w:rPr>
              <w:t xml:space="preserve">rts and </w:t>
            </w:r>
            <w:r w:rsidR="001E093C" w:rsidRPr="006F4D13">
              <w:rPr>
                <w:b/>
                <w:u w:val="single"/>
              </w:rPr>
              <w:t>M</w:t>
            </w:r>
            <w:r w:rsidR="001E093C">
              <w:rPr>
                <w:b/>
              </w:rPr>
              <w:t>ath</w:t>
            </w:r>
            <w:r w:rsidR="008A3864">
              <w:rPr>
                <w:b/>
              </w:rPr>
              <w:t xml:space="preserve"> (STEAM)</w:t>
            </w:r>
            <w:r w:rsidR="007D5EA5">
              <w:rPr>
                <w:b/>
              </w:rPr>
              <w:t>.</w:t>
            </w:r>
            <w:r w:rsidR="001E093C">
              <w:rPr>
                <w:b/>
              </w:rPr>
              <w:t xml:space="preserve"> </w:t>
            </w:r>
          </w:p>
          <w:p w14:paraId="33CB45DA" w14:textId="7972BC85" w:rsidR="0000182E" w:rsidRPr="009D08EB" w:rsidRDefault="000965A2" w:rsidP="00BD1664">
            <w:pPr>
              <w:rPr>
                <w:rFonts w:ascii="Century Gothic" w:hAnsi="Century Gothic" w:cs="Arial"/>
                <w:b/>
              </w:rPr>
            </w:pPr>
            <w:r>
              <w:rPr>
                <w:b/>
              </w:rPr>
              <w:t>Phy</w:t>
            </w:r>
            <w:r w:rsidR="00240011">
              <w:rPr>
                <w:b/>
              </w:rPr>
              <w:t>s</w:t>
            </w:r>
            <w:r>
              <w:rPr>
                <w:b/>
              </w:rPr>
              <w:t xml:space="preserve">ical Activity - </w:t>
            </w:r>
            <w:r w:rsidR="007A01A0">
              <w:rPr>
                <w:b/>
              </w:rPr>
              <w:t xml:space="preserve">Try to find time everyday to be active. This can be playing outside, going for a walk, </w:t>
            </w:r>
            <w:r w:rsidR="00674070">
              <w:rPr>
                <w:b/>
              </w:rPr>
              <w:t xml:space="preserve">a bike ride, or </w:t>
            </w:r>
            <w:r w:rsidR="00D7202E">
              <w:rPr>
                <w:b/>
              </w:rPr>
              <w:t xml:space="preserve">using an online video to get moving. We will share ideas </w:t>
            </w:r>
            <w:r w:rsidR="0096067F">
              <w:rPr>
                <w:b/>
              </w:rPr>
              <w:t xml:space="preserve">for daily physical </w:t>
            </w:r>
            <w:r w:rsidR="00BD1664">
              <w:rPr>
                <w:b/>
              </w:rPr>
              <w:t>activity,</w:t>
            </w:r>
            <w:r w:rsidR="002777B2">
              <w:rPr>
                <w:b/>
              </w:rPr>
              <w:t xml:space="preserve"> and you can choose what works best for you. </w:t>
            </w:r>
          </w:p>
        </w:tc>
      </w:tr>
    </w:tbl>
    <w:p w14:paraId="72CBB55B" w14:textId="77777777" w:rsidR="0000182E" w:rsidRPr="00B24CAE" w:rsidRDefault="0000182E" w:rsidP="0000182E">
      <w:pPr>
        <w:rPr>
          <w:rFonts w:ascii="Century Gothic" w:hAnsi="Century Gothic"/>
        </w:rPr>
      </w:pPr>
    </w:p>
    <w:p w14:paraId="48D4E185" w14:textId="5BAFB8BC" w:rsidR="00C67027" w:rsidRDefault="00C67027"/>
    <w:sectPr w:rsidR="00C67027" w:rsidSect="0096061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A4574"/>
    <w:multiLevelType w:val="hybridMultilevel"/>
    <w:tmpl w:val="F1B41CF6"/>
    <w:lvl w:ilvl="0" w:tplc="39C0D682">
      <w:start w:val="5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2E"/>
    <w:rsid w:val="0000182E"/>
    <w:rsid w:val="00014E79"/>
    <w:rsid w:val="000249B2"/>
    <w:rsid w:val="000741FF"/>
    <w:rsid w:val="000755D7"/>
    <w:rsid w:val="00075613"/>
    <w:rsid w:val="00085EFF"/>
    <w:rsid w:val="000965A2"/>
    <w:rsid w:val="000E7145"/>
    <w:rsid w:val="00121A3C"/>
    <w:rsid w:val="00145214"/>
    <w:rsid w:val="00162A59"/>
    <w:rsid w:val="001D0119"/>
    <w:rsid w:val="001E093C"/>
    <w:rsid w:val="00201326"/>
    <w:rsid w:val="00201A51"/>
    <w:rsid w:val="00240011"/>
    <w:rsid w:val="00242B01"/>
    <w:rsid w:val="002777B2"/>
    <w:rsid w:val="002D276D"/>
    <w:rsid w:val="00336ADD"/>
    <w:rsid w:val="00352AC3"/>
    <w:rsid w:val="003C43D0"/>
    <w:rsid w:val="003E7C98"/>
    <w:rsid w:val="004215B8"/>
    <w:rsid w:val="00424BCE"/>
    <w:rsid w:val="00437C7E"/>
    <w:rsid w:val="00476D77"/>
    <w:rsid w:val="00523992"/>
    <w:rsid w:val="00583061"/>
    <w:rsid w:val="005B6EF0"/>
    <w:rsid w:val="005C0C21"/>
    <w:rsid w:val="005C15EC"/>
    <w:rsid w:val="005C2C74"/>
    <w:rsid w:val="00620220"/>
    <w:rsid w:val="00662A67"/>
    <w:rsid w:val="00674070"/>
    <w:rsid w:val="00682873"/>
    <w:rsid w:val="00697438"/>
    <w:rsid w:val="006D0912"/>
    <w:rsid w:val="006F1FF9"/>
    <w:rsid w:val="006F4D13"/>
    <w:rsid w:val="0074185F"/>
    <w:rsid w:val="007537D5"/>
    <w:rsid w:val="0078120E"/>
    <w:rsid w:val="007A01A0"/>
    <w:rsid w:val="007D5EA5"/>
    <w:rsid w:val="008056C8"/>
    <w:rsid w:val="00892E3F"/>
    <w:rsid w:val="008972D5"/>
    <w:rsid w:val="008A2F00"/>
    <w:rsid w:val="008A3864"/>
    <w:rsid w:val="008C2EC1"/>
    <w:rsid w:val="008C5016"/>
    <w:rsid w:val="008D31C6"/>
    <w:rsid w:val="008E5F23"/>
    <w:rsid w:val="009143A4"/>
    <w:rsid w:val="00932F38"/>
    <w:rsid w:val="00936BEF"/>
    <w:rsid w:val="0096061A"/>
    <w:rsid w:val="0096067F"/>
    <w:rsid w:val="009B0CD8"/>
    <w:rsid w:val="009B67C8"/>
    <w:rsid w:val="009F0A72"/>
    <w:rsid w:val="009F16F2"/>
    <w:rsid w:val="00A3378F"/>
    <w:rsid w:val="00A361E3"/>
    <w:rsid w:val="00A8245F"/>
    <w:rsid w:val="00A97D89"/>
    <w:rsid w:val="00AB271D"/>
    <w:rsid w:val="00AB4630"/>
    <w:rsid w:val="00B1615C"/>
    <w:rsid w:val="00B17806"/>
    <w:rsid w:val="00B3567F"/>
    <w:rsid w:val="00B45906"/>
    <w:rsid w:val="00BA69D3"/>
    <w:rsid w:val="00BB678A"/>
    <w:rsid w:val="00BD1664"/>
    <w:rsid w:val="00BE0C9E"/>
    <w:rsid w:val="00C07956"/>
    <w:rsid w:val="00C33BE2"/>
    <w:rsid w:val="00C3476A"/>
    <w:rsid w:val="00C67027"/>
    <w:rsid w:val="00CA2C1E"/>
    <w:rsid w:val="00D051C7"/>
    <w:rsid w:val="00D35C0D"/>
    <w:rsid w:val="00D55338"/>
    <w:rsid w:val="00D7202E"/>
    <w:rsid w:val="00D7294E"/>
    <w:rsid w:val="00DA6A60"/>
    <w:rsid w:val="00E058F4"/>
    <w:rsid w:val="00E11E06"/>
    <w:rsid w:val="00E16587"/>
    <w:rsid w:val="00E17332"/>
    <w:rsid w:val="00E25381"/>
    <w:rsid w:val="00E303FD"/>
    <w:rsid w:val="00E37557"/>
    <w:rsid w:val="00E4226F"/>
    <w:rsid w:val="00EE4E98"/>
    <w:rsid w:val="00F14357"/>
    <w:rsid w:val="00F56C11"/>
    <w:rsid w:val="00F608DA"/>
    <w:rsid w:val="00F65D77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7D7"/>
  <w15:chartTrackingRefBased/>
  <w15:docId w15:val="{E48CF10D-5BA5-4CC3-8B4C-8F8B058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00182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NoSpacing">
    <w:name w:val="No Spacing"/>
    <w:uiPriority w:val="1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idget.nugent@nbed.nb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mahar@nb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lorencevilleelementary@nbed.nb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dget.nugent@nbed.nb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dianne.lord@nbed.nb.ca" TargetMode="External"/><Relationship Id="rId10" Type="http://schemas.openxmlformats.org/officeDocument/2006/relationships/hyperlink" Target="mailto:Marjorie.Hewson@nbed.nb.c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cynthia.crowhurst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8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C08AC-4C45-4150-98E9-F697CB04967D}"/>
</file>

<file path=customXml/itemProps2.xml><?xml version="1.0" encoding="utf-8"?>
<ds:datastoreItem xmlns:ds="http://schemas.openxmlformats.org/officeDocument/2006/customXml" ds:itemID="{73CD8B22-E046-4A14-A3A7-BBFB3C5A2F9E}"/>
</file>

<file path=customXml/itemProps3.xml><?xml version="1.0" encoding="utf-8"?>
<ds:datastoreItem xmlns:ds="http://schemas.openxmlformats.org/officeDocument/2006/customXml" ds:itemID="{BF6D8F1B-86F6-4398-9F81-E8405B2FE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Bridget (ASD-W)</dc:creator>
  <cp:keywords/>
  <dc:description/>
  <cp:lastModifiedBy>Nugent, Bridget (ASD-W)</cp:lastModifiedBy>
  <cp:revision>66</cp:revision>
  <dcterms:created xsi:type="dcterms:W3CDTF">2020-04-07T20:31:00Z</dcterms:created>
  <dcterms:modified xsi:type="dcterms:W3CDTF">2020-04-08T14:21:00Z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