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B3FF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color w:val="9C2142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9C2142"/>
          <w:sz w:val="27"/>
          <w:szCs w:val="27"/>
        </w:rPr>
        <w:t>Geometric Sequence</w:t>
      </w:r>
    </w:p>
    <w:p w14:paraId="7CF018F9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A </w:t>
      </w:r>
      <w:r w:rsidRPr="00BC498B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geometric sequence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is a number sequence that is generated by </w:t>
      </w:r>
      <w:r w:rsidRPr="00BC498B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multiplying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each successive term by the same number.</w:t>
      </w:r>
    </w:p>
    <w:p w14:paraId="21FAF268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Here are two examples of geometric sequences:</w:t>
      </w:r>
    </w:p>
    <w:p w14:paraId="333253A1" w14:textId="77777777" w:rsidR="00BC498B" w:rsidRPr="00BC498B" w:rsidRDefault="00BC498B" w:rsidP="00BC4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{2, 10, 50, 250, …}: Each term is generated by multiplying the previous term by 5.</w:t>
      </w:r>
    </w:p>
    <w:p w14:paraId="2CBF04C8" w14:textId="77777777" w:rsidR="00BC498B" w:rsidRPr="00BC498B" w:rsidRDefault="00BC498B" w:rsidP="00BC4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{8, 4, 2, 1, .5</w:t>
      </w:r>
      <w:proofErr w:type="gramStart"/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, .</w:t>
      </w:r>
      <w:proofErr w:type="gramEnd"/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25,…}: Each term is generated by multiplying the previous term by </w:t>
      </w:r>
      <w:r w:rsidRPr="00BC498B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5FDA7ACD" wp14:editId="5BA5EAFB">
            <wp:extent cx="95250" cy="361950"/>
            <wp:effectExtent l="0" t="0" r="0" b="0"/>
            <wp:docPr id="1" name="Picture 1" descr="PreCalB120_06_13_0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alB120_06_13_01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.</w:t>
      </w:r>
    </w:p>
    <w:p w14:paraId="37273676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If you take any term in a geometric sequence and divide it by the term before it, you will obtain a constant value. This value is called the </w:t>
      </w:r>
      <w:r w:rsidRPr="00BC498B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common ratio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of the geometric sequence.</w:t>
      </w:r>
    </w:p>
    <w:p w14:paraId="7661237B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color w:val="9C2142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9C2142"/>
          <w:sz w:val="27"/>
          <w:szCs w:val="27"/>
        </w:rPr>
        <w:t>Common Ratio Formula</w:t>
      </w:r>
    </w:p>
    <w:p w14:paraId="079B24FE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The symbol used for common ratio is </w:t>
      </w: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r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.</w:t>
      </w:r>
    </w:p>
    <w:p w14:paraId="65E6C8C3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The common ratio is determined as </w:t>
      </w:r>
      <w:r w:rsidRPr="00BC498B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0734773A" wp14:editId="02CEAFF6">
            <wp:extent cx="628650" cy="381000"/>
            <wp:effectExtent l="0" t="0" r="0" b="0"/>
            <wp:docPr id="2" name="Picture 2" descr="PreCalB120_06_13_0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CalB120_06_13_02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.</w:t>
      </w:r>
    </w:p>
    <w:p w14:paraId="61B0CC49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color w:val="9C2142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9C2142"/>
          <w:sz w:val="27"/>
          <w:szCs w:val="27"/>
        </w:rPr>
        <w:t>Example</w:t>
      </w:r>
    </w:p>
    <w:p w14:paraId="5699F87D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Determine </w:t>
      </w: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r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for the geometric sequence </w:t>
      </w:r>
      <w:r w:rsidRPr="00BC498B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4E411335" wp14:editId="318AC3DB">
            <wp:extent cx="914400" cy="371475"/>
            <wp:effectExtent l="0" t="0" r="0" b="9525"/>
            <wp:docPr id="3" name="Picture 3" descr="PreCalB120_06_13_0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CalB120_06_13_03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:</w:t>
      </w:r>
    </w:p>
    <w:p w14:paraId="6BDEC9CB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To find </w:t>
      </w: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r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 xml:space="preserve">, we only </w:t>
      </w:r>
      <w:proofErr w:type="gramStart"/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have to</w:t>
      </w:r>
      <w:proofErr w:type="gramEnd"/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 xml:space="preserve"> divide one term by the previous one </w:t>
      </w:r>
      <w:r w:rsidRPr="00BC498B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33886CBF" wp14:editId="13C09A1B">
            <wp:extent cx="533400" cy="361950"/>
            <wp:effectExtent l="0" t="0" r="0" b="0"/>
            <wp:docPr id="4" name="Picture 4" descr="PreCalB120_06_13_0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CalB120_06_13_04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. We would have obtained the same value if we had used the 2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  <w:vertAlign w:val="superscript"/>
        </w:rPr>
        <w:t>nd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and 3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  <w:vertAlign w:val="superscript"/>
        </w:rPr>
        <w:t>rd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terms: </w:t>
      </w:r>
      <w:r w:rsidRPr="00BC498B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5EE4B28E" wp14:editId="06A2ECFF">
            <wp:extent cx="1019175" cy="495300"/>
            <wp:effectExtent l="0" t="0" r="9525" b="0"/>
            <wp:docPr id="5" name="Picture 5" descr="PreCalB120_06_13_0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CalB120_06_13_05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. The common ratio is </w:t>
      </w:r>
      <w:r w:rsidRPr="00BC498B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336AAC55" wp14:editId="1E620D7A">
            <wp:extent cx="219075" cy="361950"/>
            <wp:effectExtent l="0" t="0" r="9525" b="0"/>
            <wp:docPr id="6" name="Picture 6" descr="PreCalB120_06_13_0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CalB120_06_13_06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.</w:t>
      </w:r>
    </w:p>
    <w:p w14:paraId="5CF070A6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lastRenderedPageBreak/>
        <w:t>Geometric Sequence Formula</w:t>
      </w:r>
    </w:p>
    <w:p w14:paraId="0F1E6C8B" w14:textId="77777777" w:rsidR="00BC498B" w:rsidRPr="00BC498B" w:rsidRDefault="00BC498B" w:rsidP="00BC498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To describe a geometric sequence, use the following generalizations:</w:t>
      </w:r>
    </w:p>
    <w:p w14:paraId="1D36DAFA" w14:textId="77777777" w:rsidR="00BC498B" w:rsidRPr="00BC498B" w:rsidRDefault="00BC498B" w:rsidP="00BC4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proofErr w:type="spellStart"/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t</w:t>
      </w: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  <w:vertAlign w:val="subscript"/>
        </w:rPr>
        <w:t>n</w:t>
      </w:r>
      <w:proofErr w:type="spellEnd"/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: </w:t>
      </w: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t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  <w:vertAlign w:val="subscript"/>
        </w:rPr>
        <w:t>1</w:t>
      </w: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r</w:t>
      </w: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  <w:vertAlign w:val="superscript"/>
        </w:rPr>
        <w:t>n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  <w:vertAlign w:val="superscript"/>
        </w:rPr>
        <w:t>−1</w:t>
      </w:r>
    </w:p>
    <w:p w14:paraId="5C7B716D" w14:textId="77777777" w:rsidR="00BC498B" w:rsidRPr="00BC498B" w:rsidRDefault="00BC498B" w:rsidP="00BC4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proofErr w:type="spellStart"/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t</w:t>
      </w: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  <w:vertAlign w:val="subscript"/>
        </w:rPr>
        <w:t>n</w:t>
      </w:r>
      <w:proofErr w:type="spellEnd"/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: the general term or the </w:t>
      </w: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n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th term of the geometric sequence</w:t>
      </w:r>
    </w:p>
    <w:p w14:paraId="06BB3CD1" w14:textId="77777777" w:rsidR="00BC498B" w:rsidRPr="00BC498B" w:rsidRDefault="00BC498B" w:rsidP="00BC4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t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  <w:vertAlign w:val="subscript"/>
        </w:rPr>
        <w:t>1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: the first term of the sequence</w:t>
      </w:r>
    </w:p>
    <w:p w14:paraId="5818C5B6" w14:textId="77777777" w:rsidR="00BC498B" w:rsidRPr="00BC498B" w:rsidRDefault="00BC498B" w:rsidP="00BC4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n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: the number of terms or term number</w:t>
      </w:r>
    </w:p>
    <w:p w14:paraId="4965C244" w14:textId="77777777" w:rsidR="00BC498B" w:rsidRPr="00BC498B" w:rsidRDefault="00BC498B" w:rsidP="00BC4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BC498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r</w:t>
      </w:r>
      <w:r w:rsidRPr="00BC498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: the common ratio</w:t>
      </w:r>
    </w:p>
    <w:p w14:paraId="5A228DBD" w14:textId="77777777" w:rsidR="00AA6093" w:rsidRDefault="00AA6093"/>
    <w:sectPr w:rsidR="00AA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645C"/>
    <w:multiLevelType w:val="multilevel"/>
    <w:tmpl w:val="EC9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3753B"/>
    <w:multiLevelType w:val="multilevel"/>
    <w:tmpl w:val="790E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B"/>
    <w:rsid w:val="00AA6093"/>
    <w:rsid w:val="00B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DA9E"/>
  <w15:chartTrackingRefBased/>
  <w15:docId w15:val="{AD474D02-A6DB-4548-AFE9-E4B962CB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0CB8A-0616-4974-B8A9-73AEB9FF9E70}"/>
</file>

<file path=customXml/itemProps2.xml><?xml version="1.0" encoding="utf-8"?>
<ds:datastoreItem xmlns:ds="http://schemas.openxmlformats.org/officeDocument/2006/customXml" ds:itemID="{67C1D5CC-AA4A-4183-A1A1-62A3578F056F}"/>
</file>

<file path=customXml/itemProps3.xml><?xml version="1.0" encoding="utf-8"?>
<ds:datastoreItem xmlns:ds="http://schemas.openxmlformats.org/officeDocument/2006/customXml" ds:itemID="{621DC6D1-9BE8-4C81-9660-FFF7AD172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1</cp:revision>
  <dcterms:created xsi:type="dcterms:W3CDTF">2020-05-12T20:08:00Z</dcterms:created>
  <dcterms:modified xsi:type="dcterms:W3CDTF">2020-05-12T20:09:00Z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