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D5DA0" w14:textId="77777777" w:rsidR="00AB5FE1" w:rsidRPr="00F30DC7" w:rsidRDefault="00AB5FE1" w:rsidP="00AB5FE1">
      <w:pPr>
        <w:rPr>
          <w:rFonts w:ascii="Century Gothic" w:hAnsi="Century Gothic"/>
          <w:b/>
          <w:sz w:val="24"/>
          <w:szCs w:val="24"/>
        </w:rPr>
      </w:pPr>
      <w:r w:rsidRPr="00F30DC7">
        <w:rPr>
          <w:rFonts w:ascii="Century Gothic" w:hAnsi="Century Gothic"/>
          <w:b/>
          <w:sz w:val="24"/>
          <w:szCs w:val="24"/>
        </w:rPr>
        <w:t>I have a Study Permit to study in Canada. Can my child study in New Brunswick without paying tuition fees?</w:t>
      </w:r>
      <w:r>
        <w:rPr>
          <w:rFonts w:ascii="Century Gothic" w:hAnsi="Century Gothic"/>
          <w:b/>
          <w:sz w:val="24"/>
          <w:szCs w:val="24"/>
        </w:rPr>
        <w:br/>
      </w:r>
    </w:p>
    <w:p w14:paraId="7F8D90AC" w14:textId="77777777" w:rsidR="00AB5FE1" w:rsidRPr="00F30DC7" w:rsidRDefault="00AB5FE1" w:rsidP="00AB5FE1">
      <w:pPr>
        <w:rPr>
          <w:rFonts w:ascii="Century Gothic" w:hAnsi="Century Gothic"/>
          <w:sz w:val="24"/>
          <w:szCs w:val="24"/>
        </w:rPr>
      </w:pPr>
      <w:r w:rsidRPr="00F30DC7">
        <w:rPr>
          <w:rFonts w:ascii="Century Gothic" w:hAnsi="Century Gothic"/>
          <w:sz w:val="24"/>
          <w:szCs w:val="24"/>
        </w:rPr>
        <w:t>For your child to go to school without paying tuition:</w:t>
      </w:r>
    </w:p>
    <w:p w14:paraId="74F4169C" w14:textId="77777777" w:rsidR="00AB5FE1" w:rsidRPr="00F30DC7" w:rsidRDefault="00AB5FE1" w:rsidP="00AB5FE1">
      <w:pPr>
        <w:numPr>
          <w:ilvl w:val="0"/>
          <w:numId w:val="1"/>
        </w:numPr>
        <w:rPr>
          <w:rFonts w:ascii="Century Gothic" w:hAnsi="Century Gothic"/>
          <w:sz w:val="24"/>
          <w:szCs w:val="24"/>
        </w:rPr>
      </w:pPr>
      <w:r w:rsidRPr="00F30DC7">
        <w:rPr>
          <w:rFonts w:ascii="Century Gothic" w:hAnsi="Century Gothic"/>
          <w:sz w:val="24"/>
          <w:szCs w:val="24"/>
        </w:rPr>
        <w:t>The child’s parent/guardian’s study permit must be for the duration of their official course of studies, AND</w:t>
      </w:r>
    </w:p>
    <w:p w14:paraId="53144FE3" w14:textId="77777777" w:rsidR="00AB5FE1" w:rsidRPr="00F30DC7" w:rsidRDefault="00AB5FE1" w:rsidP="00AB5FE1">
      <w:pPr>
        <w:numPr>
          <w:ilvl w:val="0"/>
          <w:numId w:val="1"/>
        </w:numPr>
        <w:rPr>
          <w:rFonts w:ascii="Century Gothic" w:hAnsi="Century Gothic"/>
          <w:sz w:val="24"/>
          <w:szCs w:val="24"/>
        </w:rPr>
      </w:pPr>
      <w:r w:rsidRPr="00F30DC7">
        <w:rPr>
          <w:rFonts w:ascii="Century Gothic" w:hAnsi="Century Gothic"/>
          <w:sz w:val="24"/>
          <w:szCs w:val="24"/>
        </w:rPr>
        <w:t>The child’s parent/guardian must be enrolled in a degree or diploma program at a publicly funded institution or in a degree program at a private post-secondary institution in N.B. Here is a list of institutions that would fall under Section 12 of the Regulation. This was developed with assistance and clarification from PETL:</w:t>
      </w:r>
    </w:p>
    <w:p w14:paraId="4D49A2FD" w14:textId="77777777" w:rsidR="00AB5FE1" w:rsidRPr="00F30DC7" w:rsidRDefault="00AB5FE1" w:rsidP="00AB5FE1">
      <w:pPr>
        <w:pStyle w:val="ListParagraph"/>
        <w:numPr>
          <w:ilvl w:val="1"/>
          <w:numId w:val="1"/>
        </w:numPr>
        <w:rPr>
          <w:rFonts w:ascii="Century Gothic" w:hAnsi="Century Gothic"/>
          <w:sz w:val="24"/>
          <w:szCs w:val="24"/>
        </w:rPr>
      </w:pPr>
      <w:r w:rsidRPr="00F30DC7">
        <w:rPr>
          <w:rFonts w:ascii="Century Gothic" w:hAnsi="Century Gothic"/>
          <w:sz w:val="24"/>
          <w:szCs w:val="24"/>
        </w:rPr>
        <w:t xml:space="preserve">an educational institution designated under the Degree Granting Act (Yorkville University and the University of Fredericton), </w:t>
      </w:r>
      <w:r>
        <w:rPr>
          <w:rFonts w:ascii="Century Gothic" w:hAnsi="Century Gothic"/>
          <w:sz w:val="24"/>
          <w:szCs w:val="24"/>
        </w:rPr>
        <w:br/>
      </w:r>
    </w:p>
    <w:p w14:paraId="1CFE907D" w14:textId="77777777" w:rsidR="00AB5FE1" w:rsidRPr="00F30DC7" w:rsidRDefault="00AB5FE1" w:rsidP="00AB5FE1">
      <w:pPr>
        <w:pStyle w:val="ListParagraph"/>
        <w:numPr>
          <w:ilvl w:val="1"/>
          <w:numId w:val="1"/>
        </w:numPr>
        <w:rPr>
          <w:rFonts w:ascii="Century Gothic" w:hAnsi="Century Gothic"/>
          <w:sz w:val="24"/>
          <w:szCs w:val="24"/>
        </w:rPr>
      </w:pPr>
      <w:r w:rsidRPr="00F30DC7">
        <w:rPr>
          <w:rFonts w:ascii="Century Gothic" w:hAnsi="Century Gothic"/>
          <w:sz w:val="24"/>
          <w:szCs w:val="24"/>
        </w:rPr>
        <w:t xml:space="preserve">an educational institution, as defined in the Degree Granting Act, that is established under an Act of the Legislature (University of New Brunswick, Mount Allison University, St. Thomas University, </w:t>
      </w:r>
      <w:proofErr w:type="spellStart"/>
      <w:proofErr w:type="gramStart"/>
      <w:r w:rsidRPr="00F30DC7">
        <w:rPr>
          <w:rFonts w:ascii="Century Gothic" w:hAnsi="Century Gothic"/>
          <w:sz w:val="24"/>
          <w:szCs w:val="24"/>
        </w:rPr>
        <w:t>Université</w:t>
      </w:r>
      <w:proofErr w:type="spellEnd"/>
      <w:r w:rsidRPr="00F30DC7">
        <w:rPr>
          <w:rFonts w:ascii="Century Gothic" w:hAnsi="Century Gothic"/>
          <w:sz w:val="24"/>
          <w:szCs w:val="24"/>
        </w:rPr>
        <w:t xml:space="preserve">  de</w:t>
      </w:r>
      <w:proofErr w:type="gramEnd"/>
      <w:r w:rsidRPr="00F30DC7">
        <w:rPr>
          <w:rFonts w:ascii="Century Gothic" w:hAnsi="Century Gothic"/>
          <w:sz w:val="24"/>
          <w:szCs w:val="24"/>
        </w:rPr>
        <w:t xml:space="preserve"> Fredericton, Crandall University, </w:t>
      </w:r>
      <w:proofErr w:type="spellStart"/>
      <w:r w:rsidRPr="00F30DC7">
        <w:rPr>
          <w:rFonts w:ascii="Century Gothic" w:hAnsi="Century Gothic"/>
          <w:sz w:val="24"/>
          <w:szCs w:val="24"/>
        </w:rPr>
        <w:t>Kingswood</w:t>
      </w:r>
      <w:proofErr w:type="spellEnd"/>
      <w:r w:rsidRPr="00F30DC7">
        <w:rPr>
          <w:rFonts w:ascii="Century Gothic" w:hAnsi="Century Gothic"/>
          <w:sz w:val="24"/>
          <w:szCs w:val="24"/>
        </w:rPr>
        <w:t xml:space="preserve"> University and St. Stephen’s University and The New Brunswick Bible Institute).</w:t>
      </w:r>
      <w:r>
        <w:rPr>
          <w:rFonts w:ascii="Century Gothic" w:hAnsi="Century Gothic"/>
          <w:sz w:val="24"/>
          <w:szCs w:val="24"/>
        </w:rPr>
        <w:br/>
      </w:r>
    </w:p>
    <w:p w14:paraId="6CF9D74F" w14:textId="77777777" w:rsidR="00AB5FE1" w:rsidRPr="00F30DC7" w:rsidRDefault="00AB5FE1" w:rsidP="00AB5FE1">
      <w:pPr>
        <w:pStyle w:val="ListParagraph"/>
        <w:numPr>
          <w:ilvl w:val="1"/>
          <w:numId w:val="1"/>
        </w:numPr>
        <w:rPr>
          <w:rFonts w:ascii="Century Gothic" w:hAnsi="Century Gothic"/>
          <w:sz w:val="24"/>
          <w:szCs w:val="24"/>
        </w:rPr>
      </w:pPr>
      <w:r w:rsidRPr="00F30DC7">
        <w:rPr>
          <w:rFonts w:ascii="Century Gothic" w:hAnsi="Century Gothic"/>
          <w:sz w:val="24"/>
          <w:szCs w:val="24"/>
        </w:rPr>
        <w:t>an institution established or operated under the Adult Education and Training Act (i.e. New Brunswick College of Craft and Design),</w:t>
      </w:r>
      <w:r>
        <w:rPr>
          <w:rFonts w:ascii="Century Gothic" w:hAnsi="Century Gothic"/>
          <w:sz w:val="24"/>
          <w:szCs w:val="24"/>
        </w:rPr>
        <w:br/>
      </w:r>
    </w:p>
    <w:p w14:paraId="47C5F1FA" w14:textId="77777777" w:rsidR="00AB5FE1" w:rsidRPr="00F30DC7" w:rsidRDefault="00AB5FE1" w:rsidP="00AB5FE1">
      <w:pPr>
        <w:pStyle w:val="ListParagraph"/>
        <w:numPr>
          <w:ilvl w:val="1"/>
          <w:numId w:val="1"/>
        </w:numPr>
        <w:rPr>
          <w:rFonts w:ascii="Century Gothic" w:hAnsi="Century Gothic"/>
          <w:sz w:val="24"/>
          <w:szCs w:val="24"/>
        </w:rPr>
      </w:pPr>
      <w:r w:rsidRPr="00F30DC7">
        <w:rPr>
          <w:rFonts w:ascii="Century Gothic" w:hAnsi="Century Gothic"/>
          <w:sz w:val="24"/>
          <w:szCs w:val="24"/>
        </w:rPr>
        <w:t>Maritime College of Forest Technology,</w:t>
      </w:r>
      <w:r>
        <w:rPr>
          <w:rFonts w:ascii="Century Gothic" w:hAnsi="Century Gothic"/>
          <w:sz w:val="24"/>
          <w:szCs w:val="24"/>
        </w:rPr>
        <w:br/>
      </w:r>
    </w:p>
    <w:p w14:paraId="0FE0DC77" w14:textId="77777777" w:rsidR="00AB5FE1" w:rsidRPr="00F30DC7" w:rsidRDefault="00AB5FE1" w:rsidP="00AB5FE1">
      <w:pPr>
        <w:pStyle w:val="ListParagraph"/>
        <w:numPr>
          <w:ilvl w:val="1"/>
          <w:numId w:val="1"/>
        </w:numPr>
        <w:rPr>
          <w:rFonts w:ascii="Century Gothic" w:hAnsi="Century Gothic"/>
          <w:sz w:val="24"/>
          <w:szCs w:val="24"/>
          <w:lang w:val="fr-FR"/>
        </w:rPr>
      </w:pPr>
      <w:proofErr w:type="gramStart"/>
      <w:r w:rsidRPr="00F30DC7">
        <w:rPr>
          <w:rFonts w:ascii="Century Gothic" w:hAnsi="Century Gothic"/>
          <w:sz w:val="24"/>
          <w:szCs w:val="24"/>
          <w:lang w:val="fr-FR"/>
        </w:rPr>
        <w:t>the</w:t>
      </w:r>
      <w:proofErr w:type="gramEnd"/>
      <w:r w:rsidRPr="00F30DC7">
        <w:rPr>
          <w:rFonts w:ascii="Century Gothic" w:hAnsi="Century Gothic"/>
          <w:sz w:val="24"/>
          <w:szCs w:val="24"/>
          <w:lang w:val="fr-FR"/>
        </w:rPr>
        <w:t xml:space="preserve"> Collège communautaire du Nouveau-Brunswick (CCNB),</w:t>
      </w:r>
      <w:r>
        <w:rPr>
          <w:rFonts w:ascii="Century Gothic" w:hAnsi="Century Gothic"/>
          <w:sz w:val="24"/>
          <w:szCs w:val="24"/>
          <w:lang w:val="fr-FR"/>
        </w:rPr>
        <w:br/>
      </w:r>
    </w:p>
    <w:p w14:paraId="40767023" w14:textId="77777777" w:rsidR="00AB5FE1" w:rsidRPr="00F30DC7" w:rsidRDefault="00AB5FE1" w:rsidP="00AB5FE1">
      <w:pPr>
        <w:pStyle w:val="ListParagraph"/>
        <w:numPr>
          <w:ilvl w:val="1"/>
          <w:numId w:val="1"/>
        </w:numPr>
        <w:rPr>
          <w:rFonts w:ascii="Century Gothic" w:hAnsi="Century Gothic"/>
          <w:sz w:val="24"/>
          <w:szCs w:val="24"/>
        </w:rPr>
      </w:pPr>
      <w:r w:rsidRPr="00F30DC7">
        <w:rPr>
          <w:rFonts w:ascii="Century Gothic" w:hAnsi="Century Gothic"/>
          <w:sz w:val="24"/>
          <w:szCs w:val="24"/>
        </w:rPr>
        <w:t>the New Brunswick Community College (NBCC),</w:t>
      </w:r>
    </w:p>
    <w:p w14:paraId="1AB8BD51" w14:textId="77777777" w:rsidR="00AB5FE1" w:rsidRPr="00F30DC7" w:rsidRDefault="00AB5FE1" w:rsidP="00AB5FE1">
      <w:pPr>
        <w:rPr>
          <w:rFonts w:ascii="Century Gothic" w:hAnsi="Century Gothic"/>
          <w:sz w:val="24"/>
          <w:szCs w:val="24"/>
        </w:rPr>
      </w:pPr>
      <w:r w:rsidRPr="00F30DC7">
        <w:rPr>
          <w:rFonts w:ascii="Century Gothic" w:hAnsi="Century Gothic"/>
          <w:sz w:val="24"/>
          <w:szCs w:val="24"/>
        </w:rPr>
        <w:t>It should be noted that there are other educational institutions in the province, which are under the Private Occupational Training Act (POTA). As these institutions are under POTA, and POTA is not one of the acts mentioned under Section 12 of the Regulation, dependent children of parents attending those institutions would not be eligible for free school privileges.</w:t>
      </w:r>
    </w:p>
    <w:p w14:paraId="3C4394A8" w14:textId="77777777" w:rsidR="00AB5FE1" w:rsidRPr="00F30DC7" w:rsidRDefault="00AB5FE1" w:rsidP="00AB5FE1">
      <w:pPr>
        <w:rPr>
          <w:rFonts w:ascii="Century Gothic" w:hAnsi="Century Gothic"/>
          <w:sz w:val="24"/>
          <w:szCs w:val="24"/>
        </w:rPr>
      </w:pPr>
      <w:r w:rsidRPr="00F30DC7">
        <w:rPr>
          <w:rFonts w:ascii="Century Gothic" w:hAnsi="Century Gothic"/>
          <w:sz w:val="24"/>
          <w:szCs w:val="24"/>
        </w:rPr>
        <w:t>The Private Occupational Training Act (</w:t>
      </w:r>
      <w:proofErr w:type="spellStart"/>
      <w:r w:rsidRPr="00F30DC7">
        <w:rPr>
          <w:rFonts w:ascii="Century Gothic" w:hAnsi="Century Gothic"/>
          <w:sz w:val="24"/>
          <w:szCs w:val="24"/>
        </w:rPr>
        <w:t>Act</w:t>
      </w:r>
      <w:proofErr w:type="spellEnd"/>
      <w:r w:rsidRPr="00F30DC7">
        <w:rPr>
          <w:rFonts w:ascii="Century Gothic" w:hAnsi="Century Gothic"/>
          <w:sz w:val="24"/>
          <w:szCs w:val="24"/>
        </w:rPr>
        <w:t xml:space="preserve">) governs private college institutions.  The Act excludes the registration of language schools and religious schools.  </w:t>
      </w:r>
    </w:p>
    <w:p w14:paraId="07AACEC5" w14:textId="77777777" w:rsidR="009D775E" w:rsidRPr="00AB5FE1" w:rsidRDefault="00AB5FE1">
      <w:pPr>
        <w:rPr>
          <w:rFonts w:ascii="Century Gothic" w:hAnsi="Century Gothic"/>
          <w:sz w:val="24"/>
          <w:szCs w:val="24"/>
        </w:rPr>
      </w:pPr>
      <w:r w:rsidRPr="00F30DC7">
        <w:rPr>
          <w:rFonts w:ascii="Century Gothic" w:hAnsi="Century Gothic"/>
          <w:sz w:val="24"/>
          <w:szCs w:val="24"/>
        </w:rPr>
        <w:t xml:space="preserve">A current list of POTA institutions is available </w:t>
      </w:r>
      <w:hyperlink r:id="rId5" w:history="1">
        <w:r w:rsidRPr="00F30DC7">
          <w:rPr>
            <w:rStyle w:val="Hyperlink"/>
            <w:rFonts w:ascii="Century Gothic" w:hAnsi="Century Gothic"/>
            <w:sz w:val="24"/>
            <w:szCs w:val="24"/>
          </w:rPr>
          <w:t>here</w:t>
        </w:r>
      </w:hyperlink>
      <w:bookmarkStart w:id="0" w:name="_GoBack"/>
      <w:bookmarkEnd w:id="0"/>
    </w:p>
    <w:sectPr w:rsidR="009D775E" w:rsidRPr="00AB5FE1" w:rsidSect="00AC5E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075027"/>
    <w:multiLevelType w:val="hybridMultilevel"/>
    <w:tmpl w:val="C3541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E1"/>
    <w:rsid w:val="003734E4"/>
    <w:rsid w:val="009D775E"/>
    <w:rsid w:val="00AB5FE1"/>
    <w:rsid w:val="00AC5E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FEC1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5FE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FE1"/>
    <w:rPr>
      <w:color w:val="0000FF"/>
      <w:u w:val="single"/>
    </w:rPr>
  </w:style>
  <w:style w:type="paragraph" w:styleId="ListParagraph">
    <w:name w:val="List Paragraph"/>
    <w:basedOn w:val="Normal"/>
    <w:uiPriority w:val="34"/>
    <w:qFormat/>
    <w:rsid w:val="00AB5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hyperlink" Target="http://www2.gnb.ca/content/dam/gnb/Departments/petl-epft/PDF/POTA/Pota-lst.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707F326D042409CFFB00D6E44A4F8" ma:contentTypeVersion="1" ma:contentTypeDescription="Create a new document." ma:contentTypeScope="" ma:versionID="613cfae91bb1b73f12a41c9c6287e069">
  <xsd:schema xmlns:xsd="http://www.w3.org/2001/XMLSchema" xmlns:xs="http://www.w3.org/2001/XMLSchema" xmlns:p="http://schemas.microsoft.com/office/2006/metadata/properties" xmlns:ns1="http://schemas.microsoft.com/sharepoint/v3" targetNamespace="http://schemas.microsoft.com/office/2006/metadata/properties" ma:root="true" ma:fieldsID="a08515000de6249c669b8d4d14af87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BAC7FF-8606-443D-BB62-692342842502}"/>
</file>

<file path=customXml/itemProps2.xml><?xml version="1.0" encoding="utf-8"?>
<ds:datastoreItem xmlns:ds="http://schemas.openxmlformats.org/officeDocument/2006/customXml" ds:itemID="{4D1F33B4-FF28-4A8C-8A3F-46838D103D7E}"/>
</file>

<file path=customXml/itemProps3.xml><?xml version="1.0" encoding="utf-8"?>
<ds:datastoreItem xmlns:ds="http://schemas.openxmlformats.org/officeDocument/2006/customXml" ds:itemID="{632826AB-1AC4-4CBB-9418-7A95AB43D963}"/>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1718</Characters>
  <Application>Microsoft Macintosh Word</Application>
  <DocSecurity>0</DocSecurity>
  <Lines>14</Lines>
  <Paragraphs>4</Paragraphs>
  <ScaleCrop>false</ScaleCrop>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2018-08-04T17:58:00Z</dcterms:created>
  <dcterms:modified xsi:type="dcterms:W3CDTF">2018-08-04T17:59:00Z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0x0101000DF707F326D042409CFFB00D6E44A4F8</vt:lpwstr>
  </property>
</Properties>
</file>